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0B" w:rsidRDefault="009F7687" w:rsidP="00A77820">
      <w:pPr>
        <w:widowControl/>
        <w:spacing w:line="270" w:lineRule="atLeast"/>
        <w:jc w:val="center"/>
        <w:textAlignment w:val="top"/>
        <w:rPr>
          <w:rFonts w:ascii="宋体" w:hAnsi="宋体" w:cs="宋体"/>
          <w:b/>
          <w:kern w:val="0"/>
          <w:sz w:val="24"/>
        </w:rPr>
      </w:pPr>
      <w:r w:rsidRPr="00A77820">
        <w:rPr>
          <w:rFonts w:ascii="宋体" w:hAnsi="宋体" w:cs="宋体"/>
          <w:b/>
          <w:kern w:val="0"/>
          <w:sz w:val="24"/>
        </w:rPr>
        <w:t>上海</w:t>
      </w:r>
      <w:r w:rsidRPr="00A77820">
        <w:rPr>
          <w:rFonts w:ascii="宋体" w:hAnsi="宋体" w:cs="宋体" w:hint="eastAsia"/>
          <w:b/>
          <w:kern w:val="0"/>
          <w:sz w:val="24"/>
        </w:rPr>
        <w:t>戏剧</w:t>
      </w:r>
      <w:r w:rsidRPr="00A77820">
        <w:rPr>
          <w:rFonts w:ascii="宋体" w:hAnsi="宋体" w:cs="宋体"/>
          <w:b/>
          <w:kern w:val="0"/>
          <w:sz w:val="24"/>
        </w:rPr>
        <w:t>学院</w:t>
      </w:r>
      <w:r w:rsidRPr="00A77820">
        <w:rPr>
          <w:rFonts w:ascii="宋体" w:hAnsi="宋体" w:cs="宋体" w:hint="eastAsia"/>
          <w:b/>
          <w:kern w:val="0"/>
          <w:sz w:val="24"/>
        </w:rPr>
        <w:t>201</w:t>
      </w:r>
      <w:r w:rsidR="003643BC">
        <w:rPr>
          <w:rFonts w:ascii="宋体" w:hAnsi="宋体" w:cs="宋体" w:hint="eastAsia"/>
          <w:b/>
          <w:kern w:val="0"/>
          <w:sz w:val="24"/>
        </w:rPr>
        <w:t>8</w:t>
      </w:r>
      <w:r w:rsidR="007A18DC">
        <w:rPr>
          <w:rFonts w:ascii="宋体" w:hAnsi="宋体" w:cs="宋体" w:hint="eastAsia"/>
          <w:b/>
          <w:kern w:val="0"/>
          <w:sz w:val="24"/>
        </w:rPr>
        <w:t>--201</w:t>
      </w:r>
      <w:r w:rsidR="003643BC">
        <w:rPr>
          <w:rFonts w:ascii="宋体" w:hAnsi="宋体" w:cs="宋体" w:hint="eastAsia"/>
          <w:b/>
          <w:kern w:val="0"/>
          <w:sz w:val="24"/>
        </w:rPr>
        <w:t>9</w:t>
      </w:r>
      <w:r w:rsidRPr="00A77820">
        <w:rPr>
          <w:rFonts w:ascii="宋体" w:hAnsi="宋体" w:cs="宋体" w:hint="eastAsia"/>
          <w:b/>
          <w:kern w:val="0"/>
          <w:sz w:val="24"/>
        </w:rPr>
        <w:t>学年博士</w:t>
      </w:r>
      <w:r w:rsidRPr="00A77820">
        <w:rPr>
          <w:rFonts w:ascii="宋体" w:hAnsi="宋体" w:cs="宋体"/>
          <w:b/>
          <w:kern w:val="0"/>
          <w:sz w:val="24"/>
        </w:rPr>
        <w:t>研究生学业奖学金</w:t>
      </w:r>
      <w:r w:rsidRPr="00A77820">
        <w:rPr>
          <w:rFonts w:ascii="宋体" w:hAnsi="宋体" w:cs="宋体" w:hint="eastAsia"/>
          <w:b/>
          <w:kern w:val="0"/>
          <w:sz w:val="24"/>
        </w:rPr>
        <w:t>评定条例</w:t>
      </w:r>
    </w:p>
    <w:p w:rsidR="00A77820" w:rsidRPr="00A77820" w:rsidRDefault="00A77820" w:rsidP="00A77820">
      <w:pPr>
        <w:widowControl/>
        <w:spacing w:line="270" w:lineRule="atLeast"/>
        <w:jc w:val="center"/>
        <w:textAlignment w:val="top"/>
        <w:rPr>
          <w:rFonts w:ascii="宋体" w:hAnsi="宋体" w:cs="宋体"/>
          <w:b/>
          <w:kern w:val="0"/>
          <w:sz w:val="24"/>
        </w:rPr>
      </w:pPr>
    </w:p>
    <w:p w:rsidR="00C30B0B" w:rsidRPr="00A77820" w:rsidRDefault="00A77820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</w:t>
      </w:r>
      <w:r w:rsidR="009F7687" w:rsidRPr="00A77820">
        <w:rPr>
          <w:rFonts w:ascii="宋体" w:hAnsi="宋体" w:cs="宋体" w:hint="eastAsia"/>
          <w:kern w:val="0"/>
          <w:szCs w:val="21"/>
        </w:rPr>
        <w:t>为深化研究生培养机制改革，提高研究生培养质量，激励研究生勤奋学习、潜心科研、勇于创新、积极进取，在全面实行研究生收费制度的情况下支持研究生顺利完成学业，根据</w:t>
      </w:r>
      <w:r w:rsidR="003643BC" w:rsidRPr="003643BC">
        <w:rPr>
          <w:rFonts w:ascii="宋体" w:hAnsi="宋体" w:cs="宋体" w:hint="eastAsia"/>
          <w:kern w:val="0"/>
          <w:szCs w:val="21"/>
        </w:rPr>
        <w:t>《财政部 教育部 人力资源社会保障部 退役军人部 中央军委国防动员部关于印发&lt;学生资助资金管理办法&gt;的通知》(财科教〔2019〕19号)，以及上海市财政局、上海市教委下发的《上海市地方高校研究生学业奖学金管理暂行办法》（沪财教〔2014〕2号）</w:t>
      </w:r>
      <w:r w:rsidR="009F7687" w:rsidRPr="00A77820">
        <w:rPr>
          <w:rFonts w:ascii="宋体" w:hAnsi="宋体" w:cs="宋体" w:hint="eastAsia"/>
          <w:kern w:val="0"/>
          <w:szCs w:val="21"/>
        </w:rPr>
        <w:t>的有关要求，结合本校实际，制定本条例。</w:t>
      </w:r>
    </w:p>
    <w:p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一、设奖类别</w:t>
      </w:r>
    </w:p>
    <w:p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博士研究生学业奖学金设特等奖、一等奖、二等奖、三等奖四个等次。</w:t>
      </w:r>
      <w:r w:rsidR="0012115E">
        <w:rPr>
          <w:rFonts w:ascii="宋体" w:hAnsi="宋体" w:cs="宋体" w:hint="eastAsia"/>
          <w:kern w:val="0"/>
          <w:szCs w:val="21"/>
        </w:rPr>
        <w:t>该奖项</w:t>
      </w:r>
      <w:r w:rsidR="00DE5406">
        <w:rPr>
          <w:rFonts w:ascii="宋体" w:hAnsi="宋体" w:cs="宋体" w:hint="eastAsia"/>
          <w:kern w:val="0"/>
          <w:szCs w:val="21"/>
        </w:rPr>
        <w:t>可与博士国家奖学金兼得。</w:t>
      </w:r>
    </w:p>
    <w:p w:rsidR="00C30B0B" w:rsidRPr="0012115E" w:rsidRDefault="00C30B0B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</w:p>
    <w:p w:rsidR="00C30B0B" w:rsidRPr="00A77820" w:rsidRDefault="009F7687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二、参评对象</w:t>
      </w:r>
    </w:p>
    <w:p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自201</w:t>
      </w:r>
      <w:r w:rsidR="0012115E">
        <w:rPr>
          <w:rFonts w:ascii="宋体" w:hAnsi="宋体" w:cs="宋体" w:hint="eastAsia"/>
          <w:kern w:val="0"/>
          <w:szCs w:val="21"/>
        </w:rPr>
        <w:t>6</w:t>
      </w:r>
      <w:r w:rsidRPr="00A77820">
        <w:rPr>
          <w:rFonts w:ascii="宋体" w:hAnsi="宋体" w:cs="宋体" w:hint="eastAsia"/>
          <w:kern w:val="0"/>
          <w:szCs w:val="21"/>
        </w:rPr>
        <w:t>年秋季学期起纳入全国研究生招生计划的全日制研究生及学制内</w:t>
      </w:r>
      <w:r w:rsidR="00DD3883">
        <w:rPr>
          <w:rFonts w:ascii="宋体" w:hAnsi="宋体" w:cs="宋体" w:hint="eastAsia"/>
          <w:kern w:val="0"/>
          <w:szCs w:val="21"/>
        </w:rPr>
        <w:t>非定向</w:t>
      </w:r>
      <w:r w:rsidRPr="00A77820">
        <w:rPr>
          <w:rFonts w:ascii="宋体" w:hAnsi="宋体" w:cs="宋体" w:hint="eastAsia"/>
          <w:kern w:val="0"/>
          <w:szCs w:val="21"/>
        </w:rPr>
        <w:t>博士研究生。留学生、人事档案不转入本校的研究生除外。</w:t>
      </w:r>
    </w:p>
    <w:p w:rsidR="00C30B0B" w:rsidRPr="00A77820" w:rsidRDefault="00C30B0B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</w:p>
    <w:p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三、评定条件</w:t>
      </w:r>
    </w:p>
    <w:p w:rsidR="0012115E" w:rsidRPr="0012115E" w:rsidRDefault="0012115E" w:rsidP="0012115E">
      <w:pPr>
        <w:widowControl/>
        <w:spacing w:line="270" w:lineRule="atLeast"/>
        <w:jc w:val="left"/>
        <w:textAlignment w:val="top"/>
        <w:rPr>
          <w:rFonts w:ascii="宋体" w:hAnsi="宋体" w:cs="宋体" w:hint="eastAsia"/>
          <w:kern w:val="0"/>
          <w:szCs w:val="21"/>
        </w:rPr>
      </w:pPr>
      <w:r w:rsidRPr="0012115E">
        <w:rPr>
          <w:rFonts w:ascii="宋体" w:hAnsi="宋体" w:cs="宋体" w:hint="eastAsia"/>
          <w:kern w:val="0"/>
          <w:szCs w:val="21"/>
        </w:rPr>
        <w:t>（一）热爱社会主义祖国，拥护中国共产党的领导；</w:t>
      </w:r>
    </w:p>
    <w:p w:rsidR="0012115E" w:rsidRPr="0012115E" w:rsidRDefault="0012115E" w:rsidP="0012115E">
      <w:pPr>
        <w:widowControl/>
        <w:spacing w:line="270" w:lineRule="atLeast"/>
        <w:jc w:val="left"/>
        <w:textAlignment w:val="top"/>
        <w:rPr>
          <w:rFonts w:ascii="宋体" w:hAnsi="宋体" w:cs="宋体" w:hint="eastAsia"/>
          <w:kern w:val="0"/>
          <w:szCs w:val="21"/>
        </w:rPr>
      </w:pPr>
      <w:r w:rsidRPr="0012115E">
        <w:rPr>
          <w:rFonts w:ascii="宋体" w:hAnsi="宋体" w:cs="宋体" w:hint="eastAsia"/>
          <w:kern w:val="0"/>
          <w:szCs w:val="21"/>
        </w:rPr>
        <w:t>（二）遵守宪法和法律，遵守高等学校规章制度;</w:t>
      </w:r>
    </w:p>
    <w:p w:rsidR="0012115E" w:rsidRPr="0012115E" w:rsidRDefault="0012115E" w:rsidP="0012115E">
      <w:pPr>
        <w:widowControl/>
        <w:spacing w:line="270" w:lineRule="atLeast"/>
        <w:jc w:val="left"/>
        <w:textAlignment w:val="top"/>
        <w:rPr>
          <w:rFonts w:ascii="宋体" w:hAnsi="宋体" w:cs="宋体" w:hint="eastAsia"/>
          <w:kern w:val="0"/>
          <w:szCs w:val="21"/>
        </w:rPr>
      </w:pPr>
      <w:r w:rsidRPr="0012115E">
        <w:rPr>
          <w:rFonts w:ascii="宋体" w:hAnsi="宋体" w:cs="宋体" w:hint="eastAsia"/>
          <w:kern w:val="0"/>
          <w:szCs w:val="21"/>
        </w:rPr>
        <w:t>（三）诚实守信，品学兼优;</w:t>
      </w:r>
    </w:p>
    <w:p w:rsidR="0012115E" w:rsidRDefault="0012115E" w:rsidP="0012115E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12115E">
        <w:rPr>
          <w:rFonts w:ascii="宋体" w:hAnsi="宋体" w:cs="宋体" w:hint="eastAsia"/>
          <w:kern w:val="0"/>
          <w:szCs w:val="21"/>
        </w:rPr>
        <w:t>（四）积极参与科学研究和社会实践。</w:t>
      </w:r>
    </w:p>
    <w:p w:rsidR="00C30B0B" w:rsidRPr="00A77820" w:rsidRDefault="00C30B0B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</w:p>
    <w:p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四、评定方法</w:t>
      </w:r>
    </w:p>
    <w:p w:rsidR="00C30B0B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（一）</w:t>
      </w:r>
      <w:r w:rsidR="005B4BFA" w:rsidRPr="00EF106C">
        <w:rPr>
          <w:rFonts w:ascii="宋体" w:hAnsi="宋体" w:cs="宋体" w:hint="eastAsia"/>
          <w:color w:val="FF0000"/>
          <w:kern w:val="0"/>
          <w:szCs w:val="21"/>
        </w:rPr>
        <w:t>201</w:t>
      </w:r>
      <w:r w:rsidR="0012115E" w:rsidRPr="00EF106C">
        <w:rPr>
          <w:rFonts w:ascii="宋体" w:hAnsi="宋体" w:cs="宋体"/>
          <w:color w:val="FF0000"/>
          <w:kern w:val="0"/>
          <w:szCs w:val="21"/>
        </w:rPr>
        <w:t>9</w:t>
      </w:r>
      <w:r w:rsidR="005B4BFA">
        <w:rPr>
          <w:rFonts w:ascii="宋体" w:hAnsi="宋体" w:cs="宋体" w:hint="eastAsia"/>
          <w:kern w:val="0"/>
          <w:szCs w:val="21"/>
        </w:rPr>
        <w:t>级</w:t>
      </w:r>
      <w:r w:rsidRPr="00A77820">
        <w:rPr>
          <w:rFonts w:ascii="宋体" w:hAnsi="宋体" w:cs="宋体" w:hint="eastAsia"/>
          <w:kern w:val="0"/>
          <w:szCs w:val="21"/>
        </w:rPr>
        <w:t>新生奖学金评定</w:t>
      </w:r>
      <w:r w:rsidR="00C808F9">
        <w:rPr>
          <w:rFonts w:ascii="宋体" w:hAnsi="宋体" w:cs="宋体" w:hint="eastAsia"/>
          <w:kern w:val="0"/>
          <w:szCs w:val="21"/>
        </w:rPr>
        <w:t>方法</w:t>
      </w:r>
      <w:r w:rsidRPr="00A77820">
        <w:rPr>
          <w:rFonts w:ascii="宋体" w:hAnsi="宋体" w:cs="宋体" w:hint="eastAsia"/>
          <w:kern w:val="0"/>
          <w:szCs w:val="21"/>
        </w:rPr>
        <w:t>：</w:t>
      </w:r>
    </w:p>
    <w:p w:rsidR="00AC05EF" w:rsidRDefault="00FB4863" w:rsidP="00FB4863">
      <w:pPr>
        <w:widowControl/>
        <w:spacing w:line="270" w:lineRule="atLeast"/>
        <w:ind w:firstLineChars="200" w:firstLine="420"/>
        <w:jc w:val="left"/>
        <w:textAlignment w:val="top"/>
        <w:rPr>
          <w:rFonts w:ascii="宋体" w:hAnsi="宋体" w:cs="宋体"/>
          <w:kern w:val="0"/>
          <w:szCs w:val="21"/>
        </w:rPr>
      </w:pPr>
      <w:r w:rsidRPr="00EF106C">
        <w:rPr>
          <w:rFonts w:ascii="宋体" w:hAnsi="宋体" w:cs="宋体" w:hint="eastAsia"/>
          <w:color w:val="FF0000"/>
          <w:kern w:val="0"/>
          <w:szCs w:val="21"/>
        </w:rPr>
        <w:t>201</w:t>
      </w:r>
      <w:r w:rsidR="0012115E" w:rsidRPr="00EF106C">
        <w:rPr>
          <w:rFonts w:ascii="宋体" w:hAnsi="宋体" w:cs="宋体"/>
          <w:color w:val="FF0000"/>
          <w:kern w:val="0"/>
          <w:szCs w:val="21"/>
        </w:rPr>
        <w:t>9</w:t>
      </w:r>
      <w:r w:rsidRPr="00FB4863">
        <w:rPr>
          <w:rFonts w:ascii="宋体" w:hAnsi="宋体" w:cs="宋体" w:hint="eastAsia"/>
          <w:kern w:val="0"/>
          <w:szCs w:val="21"/>
        </w:rPr>
        <w:t>级新生学业奖学金根据入学招录成绩</w:t>
      </w:r>
      <w:r w:rsidR="00C2049F">
        <w:rPr>
          <w:rFonts w:ascii="宋体" w:hAnsi="宋体" w:cs="宋体" w:hint="eastAsia"/>
          <w:kern w:val="0"/>
          <w:szCs w:val="21"/>
        </w:rPr>
        <w:t>、</w:t>
      </w:r>
      <w:r w:rsidR="00AC05EF">
        <w:rPr>
          <w:rFonts w:ascii="宋体" w:hAnsi="宋体" w:cs="宋体" w:hint="eastAsia"/>
          <w:kern w:val="0"/>
          <w:szCs w:val="21"/>
        </w:rPr>
        <w:t>科研成果</w:t>
      </w:r>
      <w:r w:rsidR="00C2049F">
        <w:rPr>
          <w:rFonts w:ascii="宋体" w:hAnsi="宋体" w:cs="宋体" w:hint="eastAsia"/>
          <w:kern w:val="0"/>
          <w:szCs w:val="21"/>
        </w:rPr>
        <w:t>、硕士</w:t>
      </w:r>
      <w:r w:rsidR="00447912">
        <w:rPr>
          <w:rFonts w:ascii="宋体" w:hAnsi="宋体" w:cs="宋体" w:hint="eastAsia"/>
          <w:kern w:val="0"/>
          <w:szCs w:val="21"/>
        </w:rPr>
        <w:t>毕业</w:t>
      </w:r>
      <w:r w:rsidR="00C2049F">
        <w:rPr>
          <w:rFonts w:ascii="宋体" w:hAnsi="宋体" w:cs="宋体" w:hint="eastAsia"/>
          <w:kern w:val="0"/>
          <w:szCs w:val="21"/>
        </w:rPr>
        <w:t>论文</w:t>
      </w:r>
      <w:r w:rsidR="00447912">
        <w:rPr>
          <w:rFonts w:ascii="宋体" w:hAnsi="宋体" w:cs="宋体" w:hint="eastAsia"/>
          <w:kern w:val="0"/>
          <w:szCs w:val="21"/>
        </w:rPr>
        <w:t>等</w:t>
      </w:r>
      <w:r w:rsidR="00AC05EF">
        <w:rPr>
          <w:rFonts w:ascii="宋体" w:hAnsi="宋体" w:cs="宋体" w:hint="eastAsia"/>
          <w:kern w:val="0"/>
          <w:szCs w:val="21"/>
        </w:rPr>
        <w:t>综合</w:t>
      </w:r>
      <w:r w:rsidRPr="00FB4863">
        <w:rPr>
          <w:rFonts w:ascii="宋体" w:hAnsi="宋体" w:cs="宋体" w:hint="eastAsia"/>
          <w:kern w:val="0"/>
          <w:szCs w:val="21"/>
        </w:rPr>
        <w:t>排名评定相应等级。</w:t>
      </w:r>
    </w:p>
    <w:p w:rsidR="00C30B0B" w:rsidRDefault="00AC05EF" w:rsidP="00FB4863">
      <w:pPr>
        <w:widowControl/>
        <w:spacing w:line="270" w:lineRule="atLeast"/>
        <w:ind w:firstLineChars="200" w:firstLine="420"/>
        <w:jc w:val="left"/>
        <w:textAlignment w:val="top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备注：①招录</w:t>
      </w:r>
      <w:r w:rsidRPr="00A77820">
        <w:rPr>
          <w:rFonts w:ascii="宋体" w:hAnsi="宋体" w:cs="宋体" w:hint="eastAsia"/>
          <w:kern w:val="0"/>
          <w:szCs w:val="21"/>
        </w:rPr>
        <w:t>成绩</w:t>
      </w:r>
      <w:r>
        <w:rPr>
          <w:rFonts w:ascii="宋体" w:hAnsi="宋体" w:cs="宋体" w:hint="eastAsia"/>
          <w:kern w:val="0"/>
          <w:szCs w:val="21"/>
        </w:rPr>
        <w:t>：</w:t>
      </w:r>
      <w:r w:rsidR="00FB4863">
        <w:rPr>
          <w:rFonts w:ascii="宋体" w:hAnsi="宋体" w:cs="宋体" w:hint="eastAsia"/>
          <w:kern w:val="0"/>
          <w:szCs w:val="21"/>
        </w:rPr>
        <w:t>主要参照初试业务科</w:t>
      </w:r>
      <w:r w:rsidR="00CC5637">
        <w:rPr>
          <w:rFonts w:ascii="宋体" w:hAnsi="宋体" w:cs="宋体" w:hint="eastAsia"/>
          <w:kern w:val="0"/>
          <w:szCs w:val="21"/>
        </w:rPr>
        <w:t>一</w:t>
      </w:r>
      <w:r w:rsidR="00FB4863">
        <w:rPr>
          <w:rFonts w:ascii="宋体" w:hAnsi="宋体" w:cs="宋体" w:hint="eastAsia"/>
          <w:kern w:val="0"/>
          <w:szCs w:val="21"/>
        </w:rPr>
        <w:t>、业务科二及</w:t>
      </w:r>
      <w:r w:rsidR="009F7687" w:rsidRPr="00A77820">
        <w:rPr>
          <w:rFonts w:ascii="宋体" w:hAnsi="宋体" w:cs="宋体" w:hint="eastAsia"/>
          <w:kern w:val="0"/>
          <w:szCs w:val="21"/>
        </w:rPr>
        <w:t>外语</w:t>
      </w:r>
      <w:r w:rsidR="00FB4863">
        <w:rPr>
          <w:rFonts w:ascii="宋体" w:hAnsi="宋体" w:cs="宋体" w:hint="eastAsia"/>
          <w:kern w:val="0"/>
          <w:szCs w:val="21"/>
        </w:rPr>
        <w:t>总分</w:t>
      </w:r>
      <w:r w:rsidR="009F7687" w:rsidRPr="00A77820">
        <w:rPr>
          <w:rFonts w:ascii="宋体" w:hAnsi="宋体" w:cs="宋体" w:hint="eastAsia"/>
          <w:kern w:val="0"/>
          <w:szCs w:val="21"/>
        </w:rPr>
        <w:t>，适当参考研究方向专业综合面试成绩。</w:t>
      </w:r>
    </w:p>
    <w:p w:rsidR="00AC05EF" w:rsidRDefault="00AC05EF" w:rsidP="00FB4863">
      <w:pPr>
        <w:widowControl/>
        <w:spacing w:line="270" w:lineRule="atLeast"/>
        <w:ind w:firstLineChars="200" w:firstLine="420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②科研成果：包括发表论文、出版专著、科研成果获奖等，所有发表的科研成果均须提供纸质期刊原件备查，录用通知不能作为参评依据；被SCI、SSCI、CSSCI等国际公认的检索系统全文检索的，须提供相关网页的打印纸质版；同一篇论文被不同刊物收录或转载的，以最高级别刊物积分，不累计。</w:t>
      </w:r>
      <w:bookmarkStart w:id="0" w:name="OLE_LINK1"/>
      <w:bookmarkStart w:id="1" w:name="OLE_LINK2"/>
      <w:r w:rsidR="00A76529">
        <w:rPr>
          <w:rFonts w:hint="eastAsia"/>
        </w:rPr>
        <w:t>科研成果认定时段为：</w:t>
      </w:r>
      <w:r w:rsidR="00A048BA">
        <w:rPr>
          <w:rFonts w:hint="eastAsia"/>
        </w:rPr>
        <w:t>自</w:t>
      </w:r>
      <w:r w:rsidR="00A048BA" w:rsidRPr="00EF106C">
        <w:rPr>
          <w:rFonts w:hint="eastAsia"/>
          <w:color w:val="FF0000"/>
        </w:rPr>
        <w:t>201</w:t>
      </w:r>
      <w:r w:rsidR="00EF106C" w:rsidRPr="00EF106C">
        <w:rPr>
          <w:color w:val="FF0000"/>
        </w:rPr>
        <w:t>4</w:t>
      </w:r>
      <w:r w:rsidR="00A048BA" w:rsidRPr="00EF106C">
        <w:rPr>
          <w:rFonts w:hint="eastAsia"/>
          <w:color w:val="FF0000"/>
        </w:rPr>
        <w:t>年</w:t>
      </w:r>
      <w:r w:rsidR="00A048BA" w:rsidRPr="00EF106C">
        <w:rPr>
          <w:rFonts w:hint="eastAsia"/>
          <w:color w:val="FF0000"/>
        </w:rPr>
        <w:t>9</w:t>
      </w:r>
      <w:r w:rsidR="00A048BA" w:rsidRPr="00EF106C">
        <w:rPr>
          <w:rFonts w:hint="eastAsia"/>
          <w:color w:val="FF0000"/>
        </w:rPr>
        <w:t>月</w:t>
      </w:r>
      <w:r w:rsidR="00A048BA" w:rsidRPr="00EF106C">
        <w:rPr>
          <w:rFonts w:hint="eastAsia"/>
          <w:color w:val="FF0000"/>
        </w:rPr>
        <w:t>1</w:t>
      </w:r>
      <w:r w:rsidR="00A048BA" w:rsidRPr="00EF106C">
        <w:rPr>
          <w:rFonts w:hint="eastAsia"/>
          <w:color w:val="FF0000"/>
        </w:rPr>
        <w:t>日</w:t>
      </w:r>
      <w:r w:rsidR="00A76529" w:rsidRPr="00EF106C">
        <w:rPr>
          <w:rFonts w:hint="eastAsia"/>
          <w:color w:val="FF0000"/>
        </w:rPr>
        <w:t>至</w:t>
      </w:r>
      <w:r w:rsidR="00A76529" w:rsidRPr="00EF106C">
        <w:rPr>
          <w:rFonts w:hint="eastAsia"/>
          <w:color w:val="FF0000"/>
        </w:rPr>
        <w:t>201</w:t>
      </w:r>
      <w:r w:rsidR="00EF106C" w:rsidRPr="00EF106C">
        <w:rPr>
          <w:color w:val="FF0000"/>
        </w:rPr>
        <w:t>9</w:t>
      </w:r>
      <w:r w:rsidR="00A76529">
        <w:rPr>
          <w:rFonts w:hint="eastAsia"/>
        </w:rPr>
        <w:t>年</w:t>
      </w:r>
      <w:r w:rsidR="00A76529">
        <w:rPr>
          <w:rFonts w:hint="eastAsia"/>
        </w:rPr>
        <w:t>9</w:t>
      </w:r>
      <w:r w:rsidR="00A76529">
        <w:rPr>
          <w:rFonts w:hint="eastAsia"/>
        </w:rPr>
        <w:t>月</w:t>
      </w:r>
      <w:r w:rsidR="00A76529">
        <w:rPr>
          <w:rFonts w:hint="eastAsia"/>
        </w:rPr>
        <w:t>1</w:t>
      </w:r>
      <w:r w:rsidR="00A76529">
        <w:rPr>
          <w:rFonts w:hint="eastAsia"/>
        </w:rPr>
        <w:t>日止。</w:t>
      </w:r>
      <w:bookmarkEnd w:id="0"/>
      <w:bookmarkEnd w:id="1"/>
    </w:p>
    <w:p w:rsidR="00447912" w:rsidRPr="00A77820" w:rsidRDefault="00447912" w:rsidP="00FB4863">
      <w:pPr>
        <w:widowControl/>
        <w:spacing w:line="270" w:lineRule="atLeast"/>
        <w:ind w:firstLineChars="200" w:firstLine="420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③</w:t>
      </w:r>
      <w:r w:rsidR="004F548E">
        <w:rPr>
          <w:rFonts w:ascii="宋体" w:hAnsi="宋体" w:cs="宋体" w:hint="eastAsia"/>
          <w:kern w:val="0"/>
          <w:szCs w:val="21"/>
        </w:rPr>
        <w:t>硕士毕业论文</w:t>
      </w:r>
      <w:r w:rsidRPr="00A77820">
        <w:rPr>
          <w:rFonts w:ascii="宋体" w:hAnsi="宋体" w:cs="宋体" w:hint="eastAsia"/>
          <w:kern w:val="0"/>
          <w:szCs w:val="21"/>
        </w:rPr>
        <w:t>：</w:t>
      </w:r>
      <w:r w:rsidR="004F548E">
        <w:rPr>
          <w:rFonts w:ascii="宋体" w:hAnsi="宋体" w:cs="宋体" w:hint="eastAsia"/>
          <w:kern w:val="0"/>
          <w:szCs w:val="21"/>
        </w:rPr>
        <w:t>提交硕士毕业论文，如获优秀毕业论文请提供证书复印件。</w:t>
      </w:r>
    </w:p>
    <w:p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（二）</w:t>
      </w:r>
      <w:r w:rsidR="005B4BFA">
        <w:rPr>
          <w:rFonts w:ascii="宋体" w:hAnsi="宋体" w:cs="宋体" w:hint="eastAsia"/>
          <w:kern w:val="0"/>
          <w:szCs w:val="21"/>
        </w:rPr>
        <w:t>201</w:t>
      </w:r>
      <w:r w:rsidR="00232D28">
        <w:rPr>
          <w:rFonts w:ascii="宋体" w:hAnsi="宋体" w:cs="宋体" w:hint="eastAsia"/>
          <w:kern w:val="0"/>
          <w:szCs w:val="21"/>
        </w:rPr>
        <w:t>6</w:t>
      </w:r>
      <w:r w:rsidR="005B4BFA">
        <w:rPr>
          <w:rFonts w:ascii="宋体" w:hAnsi="宋体" w:cs="宋体" w:hint="eastAsia"/>
          <w:kern w:val="0"/>
          <w:szCs w:val="21"/>
        </w:rPr>
        <w:t>、201</w:t>
      </w:r>
      <w:r w:rsidR="00232D28">
        <w:rPr>
          <w:rFonts w:ascii="宋体" w:hAnsi="宋体" w:cs="宋体" w:hint="eastAsia"/>
          <w:kern w:val="0"/>
          <w:szCs w:val="21"/>
        </w:rPr>
        <w:t>7</w:t>
      </w:r>
      <w:r w:rsidR="00EF106C">
        <w:rPr>
          <w:rFonts w:ascii="宋体" w:hAnsi="宋体" w:cs="宋体" w:hint="eastAsia"/>
          <w:kern w:val="0"/>
          <w:szCs w:val="21"/>
        </w:rPr>
        <w:t>、</w:t>
      </w:r>
      <w:r w:rsidR="00EF106C">
        <w:rPr>
          <w:rFonts w:ascii="宋体" w:hAnsi="宋体" w:cs="宋体"/>
          <w:kern w:val="0"/>
          <w:szCs w:val="21"/>
        </w:rPr>
        <w:t>2018</w:t>
      </w:r>
      <w:r w:rsidR="005B4BFA">
        <w:rPr>
          <w:rFonts w:ascii="宋体" w:hAnsi="宋体" w:cs="宋体" w:hint="eastAsia"/>
          <w:kern w:val="0"/>
          <w:szCs w:val="21"/>
        </w:rPr>
        <w:t>级</w:t>
      </w:r>
      <w:r w:rsidRPr="00A77820">
        <w:rPr>
          <w:rFonts w:ascii="宋体" w:hAnsi="宋体" w:cs="宋体" w:hint="eastAsia"/>
          <w:kern w:val="0"/>
          <w:szCs w:val="21"/>
        </w:rPr>
        <w:t>奖学金</w:t>
      </w:r>
      <w:r w:rsidR="00C808F9">
        <w:rPr>
          <w:rFonts w:ascii="宋体" w:hAnsi="宋体" w:cs="宋体" w:hint="eastAsia"/>
          <w:kern w:val="0"/>
          <w:szCs w:val="21"/>
        </w:rPr>
        <w:t>根据学习成绩、</w:t>
      </w:r>
      <w:r w:rsidR="004545FD">
        <w:rPr>
          <w:rFonts w:ascii="宋体" w:hAnsi="宋体" w:cs="宋体" w:hint="eastAsia"/>
          <w:kern w:val="0"/>
          <w:szCs w:val="21"/>
        </w:rPr>
        <w:t>学术科研能力、</w:t>
      </w:r>
      <w:r w:rsidR="00C808F9">
        <w:rPr>
          <w:rFonts w:ascii="宋体" w:hAnsi="宋体" w:cs="宋体" w:hint="eastAsia"/>
          <w:kern w:val="0"/>
          <w:szCs w:val="21"/>
        </w:rPr>
        <w:t>平时表现</w:t>
      </w:r>
      <w:r w:rsidR="001578BE">
        <w:rPr>
          <w:rFonts w:ascii="宋体" w:hAnsi="宋体" w:cs="宋体" w:hint="eastAsia"/>
          <w:kern w:val="0"/>
          <w:szCs w:val="21"/>
        </w:rPr>
        <w:t>以及开题、学位论文完成情况</w:t>
      </w:r>
      <w:r w:rsidR="00C808F9">
        <w:rPr>
          <w:rFonts w:ascii="宋体" w:hAnsi="宋体" w:cs="宋体" w:hint="eastAsia"/>
          <w:kern w:val="0"/>
          <w:szCs w:val="21"/>
        </w:rPr>
        <w:t>综合评定。</w:t>
      </w:r>
    </w:p>
    <w:p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备注：①课程成绩：以上一年度研究生部开设的学位课程、必修课程的学业成绩为依据，由研究生部负责审核。</w:t>
      </w:r>
    </w:p>
    <w:p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②科研成果：包括发表论文、出版专著、科研成果获奖等，见附表1，所有发表的科研成果均须提供纸质期刊原件备查，录用通知不能作为参评依据；被SCI、SSCI、CSSCI等国际公认的检索系统全文检索的，须提供相关网页的打印纸质版；同一篇论文被不同刊物收录或转载的，以最高级别刊物积分，不累计。作者单位署名应以“上海戏剧学院博士生”为第一单位，若有通讯作者，则通讯者的第一单位也应为上海戏剧学院。科研成果的认定时间以奖学</w:t>
      </w:r>
      <w:r w:rsidRPr="00A77820">
        <w:rPr>
          <w:rFonts w:ascii="宋体" w:hAnsi="宋体" w:cs="宋体" w:hint="eastAsia"/>
          <w:kern w:val="0"/>
          <w:szCs w:val="21"/>
        </w:rPr>
        <w:lastRenderedPageBreak/>
        <w:t>金评选工作的申请截止日期已发表见刊为准，相同科研成果在不同年度的申报工作中不得重复使用。</w:t>
      </w:r>
      <w:r w:rsidR="00A76529">
        <w:rPr>
          <w:rFonts w:hint="eastAsia"/>
        </w:rPr>
        <w:t>科研成果认定时段为</w:t>
      </w:r>
      <w:r w:rsidR="00A76529" w:rsidRPr="00EF106C">
        <w:rPr>
          <w:rFonts w:hint="eastAsia"/>
          <w:color w:val="FF0000"/>
        </w:rPr>
        <w:t>：</w:t>
      </w:r>
      <w:r w:rsidR="00A76529" w:rsidRPr="00EF106C">
        <w:rPr>
          <w:rFonts w:hint="eastAsia"/>
          <w:color w:val="FF0000"/>
        </w:rPr>
        <w:t>201</w:t>
      </w:r>
      <w:r w:rsidR="00EF106C" w:rsidRPr="00EF106C">
        <w:rPr>
          <w:color w:val="FF0000"/>
        </w:rPr>
        <w:t>8</w:t>
      </w:r>
      <w:r w:rsidR="00A76529" w:rsidRPr="00EF106C">
        <w:rPr>
          <w:rFonts w:hint="eastAsia"/>
          <w:color w:val="FF0000"/>
        </w:rPr>
        <w:t>年</w:t>
      </w:r>
      <w:r w:rsidR="00A76529" w:rsidRPr="00EF106C">
        <w:rPr>
          <w:rFonts w:hint="eastAsia"/>
          <w:color w:val="FF0000"/>
        </w:rPr>
        <w:t>9</w:t>
      </w:r>
      <w:r w:rsidR="00A76529" w:rsidRPr="00EF106C">
        <w:rPr>
          <w:rFonts w:hint="eastAsia"/>
          <w:color w:val="FF0000"/>
        </w:rPr>
        <w:t>月</w:t>
      </w:r>
      <w:r w:rsidR="00A76529" w:rsidRPr="00EF106C">
        <w:rPr>
          <w:rFonts w:hint="eastAsia"/>
          <w:color w:val="FF0000"/>
        </w:rPr>
        <w:t>1</w:t>
      </w:r>
      <w:r w:rsidR="00A76529" w:rsidRPr="00EF106C">
        <w:rPr>
          <w:rFonts w:hint="eastAsia"/>
          <w:color w:val="FF0000"/>
        </w:rPr>
        <w:t>日至</w:t>
      </w:r>
      <w:r w:rsidR="00A76529" w:rsidRPr="00EF106C">
        <w:rPr>
          <w:rFonts w:hint="eastAsia"/>
          <w:color w:val="FF0000"/>
        </w:rPr>
        <w:t>201</w:t>
      </w:r>
      <w:r w:rsidR="00EF106C" w:rsidRPr="00EF106C">
        <w:rPr>
          <w:color w:val="FF0000"/>
        </w:rPr>
        <w:t>9</w:t>
      </w:r>
      <w:r w:rsidR="00A76529" w:rsidRPr="00EF106C">
        <w:rPr>
          <w:rFonts w:hint="eastAsia"/>
          <w:color w:val="FF0000"/>
        </w:rPr>
        <w:t>年</w:t>
      </w:r>
      <w:r w:rsidR="00A76529" w:rsidRPr="00EF106C">
        <w:rPr>
          <w:rFonts w:hint="eastAsia"/>
          <w:color w:val="FF0000"/>
        </w:rPr>
        <w:t>9</w:t>
      </w:r>
      <w:r w:rsidR="00A76529" w:rsidRPr="00EF106C">
        <w:rPr>
          <w:rFonts w:hint="eastAsia"/>
          <w:color w:val="FF0000"/>
        </w:rPr>
        <w:t>月</w:t>
      </w:r>
      <w:r w:rsidR="00A76529" w:rsidRPr="00EF106C">
        <w:rPr>
          <w:rFonts w:hint="eastAsia"/>
          <w:color w:val="FF0000"/>
        </w:rPr>
        <w:t>1</w:t>
      </w:r>
      <w:r w:rsidR="00A76529" w:rsidRPr="00EF106C">
        <w:rPr>
          <w:rFonts w:hint="eastAsia"/>
          <w:color w:val="FF0000"/>
        </w:rPr>
        <w:t>日</w:t>
      </w:r>
      <w:r w:rsidR="00A76529">
        <w:rPr>
          <w:rFonts w:hint="eastAsia"/>
        </w:rPr>
        <w:t>止。</w:t>
      </w:r>
    </w:p>
    <w:p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③平时表现：包括上一年度中参加学校各类活动、实践服务、各类获奖情况，主要根据以下几项主要观测点细化计分。主要观测点有：学校各级各类学术及文体活动的出勤及参与情况，如紫藤博士论坛、学风道德建设讲座；参与班级、社团等相关集体工作的情况；参与公益活动、志愿服务等方面情况。</w:t>
      </w:r>
    </w:p>
    <w:p w:rsidR="00C30B0B" w:rsidRPr="00A77820" w:rsidRDefault="00C30B0B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</w:p>
    <w:p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五、评定比例和奖额</w:t>
      </w:r>
    </w:p>
    <w:p w:rsidR="00C30B0B" w:rsidRPr="00A77820" w:rsidRDefault="009F7687" w:rsidP="00A77820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博士研究生学业奖</w:t>
      </w:r>
      <w:r w:rsidR="002F787F">
        <w:rPr>
          <w:rFonts w:ascii="宋体" w:hAnsi="宋体" w:cs="宋体" w:hint="eastAsia"/>
          <w:kern w:val="0"/>
          <w:szCs w:val="21"/>
        </w:rPr>
        <w:t>学金分为特等奖、一等奖学金、二等奖学金、三等奖学金，名额以各年级</w:t>
      </w:r>
      <w:r w:rsidR="002F787F" w:rsidRPr="002F787F">
        <w:rPr>
          <w:rFonts w:ascii="宋体" w:hAnsi="宋体" w:cs="宋体" w:hint="eastAsia"/>
          <w:kern w:val="0"/>
          <w:szCs w:val="21"/>
        </w:rPr>
        <w:t>当年参评对象总人数为依据</w:t>
      </w:r>
      <w:r w:rsidR="002F787F">
        <w:rPr>
          <w:rFonts w:ascii="宋体" w:hAnsi="宋体" w:cs="宋体" w:hint="eastAsia"/>
          <w:kern w:val="0"/>
          <w:szCs w:val="21"/>
        </w:rPr>
        <w:t>，</w:t>
      </w:r>
      <w:r w:rsidR="002F787F" w:rsidRPr="00B37F7F">
        <w:rPr>
          <w:rFonts w:ascii="宋体" w:hAnsi="宋体" w:cs="宋体" w:hint="eastAsia"/>
          <w:kern w:val="0"/>
          <w:szCs w:val="21"/>
          <w:highlight w:val="yellow"/>
        </w:rPr>
        <w:t>分别为</w:t>
      </w:r>
      <w:r w:rsidRPr="00B37F7F">
        <w:rPr>
          <w:rFonts w:ascii="宋体" w:hAnsi="宋体" w:cs="宋体" w:hint="eastAsia"/>
          <w:kern w:val="0"/>
          <w:szCs w:val="21"/>
          <w:highlight w:val="yellow"/>
        </w:rPr>
        <w:t>5%、15%、25%和3</w:t>
      </w:r>
      <w:r w:rsidR="00110E4F" w:rsidRPr="00B37F7F">
        <w:rPr>
          <w:rFonts w:ascii="宋体" w:hAnsi="宋体" w:cs="宋体" w:hint="eastAsia"/>
          <w:kern w:val="0"/>
          <w:szCs w:val="21"/>
          <w:highlight w:val="yellow"/>
        </w:rPr>
        <w:t>5</w:t>
      </w:r>
      <w:r w:rsidRPr="00B37F7F">
        <w:rPr>
          <w:rFonts w:ascii="宋体" w:hAnsi="宋体" w:cs="宋体" w:hint="eastAsia"/>
          <w:kern w:val="0"/>
          <w:szCs w:val="21"/>
          <w:highlight w:val="yellow"/>
        </w:rPr>
        <w:t>%。奖金金额以当年财政下发额度为准。</w:t>
      </w:r>
      <w:r w:rsidR="00E650E1" w:rsidRPr="00B37F7F">
        <w:rPr>
          <w:rFonts w:ascii="宋体" w:hAnsi="宋体" w:cs="宋体" w:hint="eastAsia"/>
          <w:kern w:val="0"/>
          <w:szCs w:val="21"/>
          <w:highlight w:val="yellow"/>
        </w:rPr>
        <w:t>201</w:t>
      </w:r>
      <w:r w:rsidR="001578BE" w:rsidRPr="00B37F7F">
        <w:rPr>
          <w:rFonts w:ascii="宋体" w:hAnsi="宋体" w:cs="宋体" w:hint="eastAsia"/>
          <w:kern w:val="0"/>
          <w:szCs w:val="21"/>
          <w:highlight w:val="yellow"/>
        </w:rPr>
        <w:t>7</w:t>
      </w:r>
      <w:r w:rsidRPr="00B37F7F">
        <w:rPr>
          <w:rFonts w:ascii="宋体" w:hAnsi="宋体" w:cs="宋体" w:hint="eastAsia"/>
          <w:kern w:val="0"/>
          <w:szCs w:val="21"/>
          <w:highlight w:val="yellow"/>
        </w:rPr>
        <w:t>年奖励标准：特等奖：18000元；一等奖：12000元；二等奖：10000元；三等奖：8000元。</w:t>
      </w:r>
    </w:p>
    <w:p w:rsidR="00C30B0B" w:rsidRPr="00A77820" w:rsidRDefault="00C30B0B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</w:p>
    <w:p w:rsidR="00C30B0B" w:rsidRPr="00A77820" w:rsidRDefault="009F7687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六、评定程序</w:t>
      </w:r>
    </w:p>
    <w:p w:rsidR="00C30B0B" w:rsidRPr="00A77820" w:rsidRDefault="009F7687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1、学业奖学金评定采用申报制，由研究生根据自己的情况和学校的评选条件提出申请。在研究生部网站下载区下载《上海戏剧学院研究生学业奖学金申请表》。</w:t>
      </w:r>
    </w:p>
    <w:p w:rsidR="00C30B0B" w:rsidRPr="00A77820" w:rsidRDefault="009F7687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2、导师意见。填写申请表后必须得到导师的签名同意。</w:t>
      </w:r>
    </w:p>
    <w:p w:rsidR="00C30B0B" w:rsidRPr="00A77820" w:rsidRDefault="009F7687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3、提交研究生办公室。由奖学金表彰评审小组审核材料，综合打分。</w:t>
      </w:r>
    </w:p>
    <w:p w:rsidR="00C30B0B" w:rsidRPr="00A77820" w:rsidRDefault="009F7687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4、名单公示。</w:t>
      </w:r>
    </w:p>
    <w:p w:rsidR="00C30B0B" w:rsidRPr="00A77820" w:rsidRDefault="009F7687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A77820">
        <w:rPr>
          <w:rFonts w:ascii="宋体" w:hAnsi="宋体" w:cs="宋体" w:hint="eastAsia"/>
          <w:kern w:val="0"/>
          <w:szCs w:val="21"/>
        </w:rPr>
        <w:t>5、上报学校审批。</w:t>
      </w:r>
    </w:p>
    <w:p w:rsidR="00C30B0B" w:rsidRDefault="00C30B0B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</w:p>
    <w:p w:rsidR="00811D81" w:rsidRPr="00811D81" w:rsidRDefault="00811D81" w:rsidP="00811D81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七</w:t>
      </w:r>
      <w:r w:rsidRPr="00811D81">
        <w:rPr>
          <w:rFonts w:ascii="宋体" w:hAnsi="宋体" w:cs="宋体" w:hint="eastAsia"/>
          <w:kern w:val="0"/>
          <w:szCs w:val="21"/>
        </w:rPr>
        <w:t xml:space="preserve">、符合参评条件的博士研究生向研究生部提交如下申请材料： </w:t>
      </w:r>
    </w:p>
    <w:p w:rsidR="00811D81" w:rsidRPr="00811D81" w:rsidRDefault="00811D81" w:rsidP="00811D81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811D81">
        <w:rPr>
          <w:rFonts w:ascii="宋体" w:hAnsi="宋体" w:cs="宋体" w:hint="eastAsia"/>
          <w:kern w:val="0"/>
          <w:szCs w:val="21"/>
        </w:rPr>
        <w:t>（1）《上海戏剧学院博士研究生学业奖学金申请表》（附件1</w:t>
      </w:r>
      <w:r w:rsidR="006D403F">
        <w:rPr>
          <w:rFonts w:ascii="宋体" w:hAnsi="宋体" w:cs="宋体" w:hint="eastAsia"/>
          <w:kern w:val="0"/>
          <w:szCs w:val="21"/>
        </w:rPr>
        <w:t>）</w:t>
      </w:r>
      <w:r w:rsidRPr="00811D81">
        <w:rPr>
          <w:rFonts w:ascii="宋体" w:hAnsi="宋体" w:cs="宋体" w:hint="eastAsia"/>
          <w:kern w:val="0"/>
          <w:szCs w:val="21"/>
        </w:rPr>
        <w:t xml:space="preserve"> </w:t>
      </w:r>
    </w:p>
    <w:p w:rsidR="00811D81" w:rsidRPr="00811D81" w:rsidRDefault="00811D81" w:rsidP="00811D81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811D81">
        <w:rPr>
          <w:rFonts w:ascii="宋体" w:hAnsi="宋体" w:cs="宋体" w:hint="eastAsia"/>
          <w:kern w:val="0"/>
          <w:szCs w:val="21"/>
        </w:rPr>
        <w:t>（2）</w:t>
      </w:r>
      <w:r w:rsidR="002F74FC">
        <w:rPr>
          <w:rFonts w:ascii="宋体" w:hAnsi="宋体" w:cs="宋体" w:hint="eastAsia"/>
          <w:kern w:val="0"/>
          <w:szCs w:val="21"/>
        </w:rPr>
        <w:t>科研论文全文及期刊封面目录、专著封面目录封底及内容摘要复印件</w:t>
      </w:r>
    </w:p>
    <w:p w:rsidR="00811D81" w:rsidRDefault="00811D81" w:rsidP="00811D81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 w:rsidRPr="00811D81">
        <w:rPr>
          <w:rFonts w:ascii="宋体" w:hAnsi="宋体" w:cs="宋体" w:hint="eastAsia"/>
          <w:kern w:val="0"/>
          <w:szCs w:val="21"/>
        </w:rPr>
        <w:t>（</w:t>
      </w:r>
      <w:r w:rsidR="00280242">
        <w:rPr>
          <w:rFonts w:ascii="宋体" w:hAnsi="宋体" w:cs="宋体" w:hint="eastAsia"/>
          <w:kern w:val="0"/>
          <w:szCs w:val="21"/>
        </w:rPr>
        <w:t>3</w:t>
      </w:r>
      <w:r w:rsidRPr="00811D81">
        <w:rPr>
          <w:rFonts w:ascii="宋体" w:hAnsi="宋体" w:cs="宋体" w:hint="eastAsia"/>
          <w:kern w:val="0"/>
          <w:szCs w:val="21"/>
        </w:rPr>
        <w:t xml:space="preserve">） </w:t>
      </w:r>
      <w:r w:rsidR="008D7F8B">
        <w:rPr>
          <w:rFonts w:ascii="宋体" w:hAnsi="宋体" w:cs="宋体" w:hint="eastAsia"/>
          <w:kern w:val="0"/>
          <w:szCs w:val="21"/>
        </w:rPr>
        <w:t>201</w:t>
      </w:r>
      <w:r w:rsidR="00B37F7F">
        <w:rPr>
          <w:rFonts w:ascii="宋体" w:hAnsi="宋体" w:cs="宋体" w:hint="eastAsia"/>
          <w:kern w:val="0"/>
          <w:szCs w:val="21"/>
        </w:rPr>
        <w:t>8</w:t>
      </w:r>
      <w:r w:rsidR="008D7F8B">
        <w:rPr>
          <w:rFonts w:ascii="宋体" w:hAnsi="宋体" w:cs="宋体" w:hint="eastAsia"/>
          <w:kern w:val="0"/>
          <w:szCs w:val="21"/>
        </w:rPr>
        <w:t>级新生提供硕士毕业论文</w:t>
      </w:r>
      <w:r w:rsidR="006D403F">
        <w:rPr>
          <w:rFonts w:ascii="宋体" w:hAnsi="宋体" w:cs="宋体" w:hint="eastAsia"/>
          <w:kern w:val="0"/>
          <w:szCs w:val="21"/>
        </w:rPr>
        <w:t>及论文获奖证书</w:t>
      </w:r>
      <w:r w:rsidR="00FA48BE">
        <w:rPr>
          <w:rFonts w:ascii="宋体" w:hAnsi="宋体" w:cs="宋体" w:hint="eastAsia"/>
          <w:kern w:val="0"/>
          <w:szCs w:val="21"/>
        </w:rPr>
        <w:t>复印件</w:t>
      </w:r>
    </w:p>
    <w:p w:rsidR="00280242" w:rsidRPr="00811D81" w:rsidRDefault="00280242" w:rsidP="00811D81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（4）</w:t>
      </w:r>
      <w:r w:rsidR="006D403F">
        <w:rPr>
          <w:rFonts w:ascii="宋体" w:hAnsi="宋体" w:cs="宋体" w:hint="eastAsia"/>
          <w:kern w:val="0"/>
          <w:szCs w:val="21"/>
        </w:rPr>
        <w:t>相关荣誉证书复印件（原件备查）</w:t>
      </w:r>
    </w:p>
    <w:p w:rsidR="00811D81" w:rsidRPr="00811D81" w:rsidRDefault="00811D81" w:rsidP="00811D81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</w:p>
    <w:p w:rsidR="00C30B0B" w:rsidRPr="00A77820" w:rsidRDefault="00811D81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八</w:t>
      </w:r>
      <w:r w:rsidR="009F7687" w:rsidRPr="00A77820">
        <w:rPr>
          <w:rFonts w:ascii="宋体" w:hAnsi="宋体" w:cs="宋体" w:hint="eastAsia"/>
          <w:kern w:val="0"/>
          <w:szCs w:val="21"/>
        </w:rPr>
        <w:t>、本办法由上海戏剧学院研究生部、财务处负责解释。</w:t>
      </w:r>
    </w:p>
    <w:p w:rsidR="00C30B0B" w:rsidRPr="00A77820" w:rsidRDefault="00C30B0B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</w:p>
    <w:p w:rsidR="00C30B0B" w:rsidRPr="00A77820" w:rsidRDefault="00811D81">
      <w:pPr>
        <w:widowControl/>
        <w:spacing w:line="270" w:lineRule="atLeast"/>
        <w:jc w:val="left"/>
        <w:textAlignment w:val="top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九</w:t>
      </w:r>
      <w:r w:rsidR="009F7687" w:rsidRPr="00A77820">
        <w:rPr>
          <w:rFonts w:ascii="宋体" w:hAnsi="宋体" w:cs="宋体" w:hint="eastAsia"/>
          <w:kern w:val="0"/>
          <w:szCs w:val="21"/>
        </w:rPr>
        <w:t>、本办法自公布之日起生效。</w:t>
      </w:r>
    </w:p>
    <w:p w:rsidR="00C30B0B" w:rsidRDefault="00C30B0B">
      <w:pPr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</w:pPr>
    </w:p>
    <w:p w:rsidR="008E3C46" w:rsidRPr="002E6AFF" w:rsidRDefault="001578BE" w:rsidP="008E3C46">
      <w:pPr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附</w:t>
      </w:r>
      <w:r w:rsidR="007B6F34">
        <w:rPr>
          <w:rFonts w:ascii="宋体" w:hAnsi="宋体" w:cs="宋体" w:hint="eastAsia"/>
          <w:color w:val="000000"/>
          <w:kern w:val="0"/>
          <w:szCs w:val="21"/>
        </w:rPr>
        <w:t>表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1 </w:t>
      </w:r>
      <w:r w:rsidR="008E3C46" w:rsidRPr="002E6AFF">
        <w:rPr>
          <w:rFonts w:ascii="宋体" w:hAnsi="宋体" w:cs="宋体" w:hint="eastAsia"/>
          <w:color w:val="000000"/>
          <w:kern w:val="0"/>
          <w:szCs w:val="21"/>
        </w:rPr>
        <w:t>博士研究生参评</w:t>
      </w:r>
      <w:r w:rsidR="002E6AFF" w:rsidRPr="002E6AFF">
        <w:rPr>
          <w:rFonts w:ascii="宋体" w:hAnsi="宋体" w:cs="宋体" w:hint="eastAsia"/>
          <w:color w:val="000000"/>
          <w:kern w:val="0"/>
          <w:szCs w:val="21"/>
        </w:rPr>
        <w:t>学业奖学金</w:t>
      </w:r>
      <w:r w:rsidR="008E3C46" w:rsidRPr="002E6AFF">
        <w:rPr>
          <w:rFonts w:ascii="宋体" w:hAnsi="宋体" w:cs="宋体" w:hint="eastAsia"/>
          <w:color w:val="000000"/>
          <w:kern w:val="0"/>
          <w:szCs w:val="21"/>
        </w:rPr>
        <w:t>时，对其科研成果的认定参照此表：</w:t>
      </w: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3653"/>
        <w:gridCol w:w="2640"/>
      </w:tblGrid>
      <w:tr w:rsidR="008E3C46" w:rsidRPr="008E3C46" w:rsidTr="008E6C01">
        <w:trPr>
          <w:trHeight w:val="498"/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629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C46" w:rsidRPr="008E3C46" w:rsidRDefault="008E3C46" w:rsidP="00C2049F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奖励标准（单位：分）</w:t>
            </w:r>
          </w:p>
        </w:tc>
      </w:tr>
      <w:tr w:rsidR="008E3C46" w:rsidRPr="008E3C46" w:rsidTr="008E6C01">
        <w:trPr>
          <w:trHeight w:val="558"/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3C46" w:rsidRPr="008E3C46" w:rsidRDefault="008E3C46" w:rsidP="00BC4250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629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1、个人专著每1万字计1分；</w:t>
            </w:r>
          </w:p>
          <w:p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2、个人译著每</w:t>
            </w:r>
            <w:r w:rsidR="00384EFF" w:rsidRPr="00384EFF">
              <w:rPr>
                <w:rFonts w:ascii="宋体" w:hAnsi="宋体" w:cs="宋体"/>
                <w:b/>
                <w:color w:val="FF0000"/>
                <w:kern w:val="0"/>
                <w:szCs w:val="21"/>
              </w:rPr>
              <w:t>1</w:t>
            </w: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万字计1分；</w:t>
            </w:r>
          </w:p>
          <w:p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3、CSSCI刊物5000字以上，独立作者计10分，第一作者计7分；</w:t>
            </w:r>
          </w:p>
          <w:p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4、南大扩展版期刊5000字以上，独立作者计8分，第一作者计5分；</w:t>
            </w:r>
          </w:p>
          <w:p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5、北大核心期刊5000字以上，独立作者计5分，第一作者计3分；</w:t>
            </w:r>
          </w:p>
          <w:p w:rsidR="008E3C46" w:rsidRPr="00EF106C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6、</w:t>
            </w:r>
            <w:bookmarkStart w:id="2" w:name="_GoBack"/>
            <w:r w:rsidR="00EF106C" w:rsidRPr="00EF106C">
              <w:rPr>
                <w:rFonts w:ascii="宋体" w:hAnsi="宋体" w:cs="宋体" w:hint="eastAsia"/>
                <w:color w:val="FF0000"/>
                <w:kern w:val="0"/>
                <w:szCs w:val="21"/>
              </w:rPr>
              <w:t>被《新华文摘》、《新华月报》全文转载计20分，被《中国人</w:t>
            </w:r>
            <w:r w:rsidR="00EF106C" w:rsidRPr="00EF106C">
              <w:rPr>
                <w:rFonts w:ascii="宋体" w:hAnsi="宋体" w:cs="宋体" w:hint="eastAsia"/>
                <w:color w:val="FF0000"/>
                <w:kern w:val="0"/>
                <w:szCs w:val="21"/>
              </w:rPr>
              <w:lastRenderedPageBreak/>
              <w:t>民大学复印资料》全文转载计15分，转载与论文加分按最高项加分，不重复加分</w:t>
            </w:r>
            <w:r w:rsidRPr="00EF106C">
              <w:rPr>
                <w:rFonts w:ascii="宋体" w:hAnsi="宋体" w:cs="宋体" w:hint="eastAsia"/>
                <w:color w:val="FF0000"/>
                <w:kern w:val="0"/>
                <w:szCs w:val="21"/>
              </w:rPr>
              <w:t>；</w:t>
            </w:r>
          </w:p>
          <w:bookmarkEnd w:id="2"/>
          <w:p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7、南大期刊2000--5000字，独立作者计8分，第一作者计6分；</w:t>
            </w:r>
          </w:p>
          <w:p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8、南大扩展版期刊2000--5000字，独立作者计6分，第一作者计4分；</w:t>
            </w:r>
          </w:p>
          <w:p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9、北大核心期刊2000</w:t>
            </w:r>
            <w:r w:rsidRPr="008E3C46">
              <w:rPr>
                <w:rFonts w:ascii="宋体" w:hAnsi="宋体" w:cs="宋体"/>
                <w:color w:val="000000"/>
                <w:kern w:val="0"/>
                <w:szCs w:val="21"/>
              </w:rPr>
              <w:t>—</w:t>
            </w: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5000字，独立作者计4分，第一作者计2分；</w:t>
            </w:r>
          </w:p>
          <w:p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10、北大核心期刊2000字以下，独立作者计1分；</w:t>
            </w:r>
          </w:p>
          <w:p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11、非核心期刊2000字以上，独立作者计0.5分；</w:t>
            </w:r>
          </w:p>
          <w:p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、论文集独立作者计0.5分；</w:t>
            </w:r>
          </w:p>
          <w:p w:rsidR="008E3C46" w:rsidRPr="008E3C46" w:rsidRDefault="008E3C46" w:rsidP="008E3C46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、非核心期刊2000字以下不计分；</w:t>
            </w:r>
          </w:p>
        </w:tc>
      </w:tr>
      <w:tr w:rsidR="008E3C46" w:rsidRPr="008E3C46" w:rsidTr="008E6C01">
        <w:trPr>
          <w:trHeight w:val="285"/>
          <w:jc w:val="center"/>
        </w:trPr>
        <w:tc>
          <w:tcPr>
            <w:tcW w:w="195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国家级课题</w:t>
            </w:r>
          </w:p>
        </w:tc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作为负责人立项且完成</w:t>
            </w:r>
          </w:p>
        </w:tc>
        <w:tc>
          <w:tcPr>
            <w:tcW w:w="2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8E3C46" w:rsidRPr="008E3C46" w:rsidTr="008E6C01">
        <w:trPr>
          <w:trHeight w:val="285"/>
          <w:jc w:val="center"/>
        </w:trPr>
        <w:tc>
          <w:tcPr>
            <w:tcW w:w="0" w:type="auto"/>
            <w:vMerge/>
            <w:vAlign w:val="center"/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作为负责人立项</w:t>
            </w:r>
          </w:p>
        </w:tc>
        <w:tc>
          <w:tcPr>
            <w:tcW w:w="2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8E3C46" w:rsidRPr="008E3C46" w:rsidTr="008E6C01">
        <w:trPr>
          <w:trHeight w:val="285"/>
          <w:jc w:val="center"/>
        </w:trPr>
        <w:tc>
          <w:tcPr>
            <w:tcW w:w="195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省市级课题</w:t>
            </w:r>
          </w:p>
        </w:tc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作为负责人立项且完成</w:t>
            </w:r>
          </w:p>
        </w:tc>
        <w:tc>
          <w:tcPr>
            <w:tcW w:w="2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8E3C46" w:rsidRPr="008E3C46" w:rsidTr="008E6C01">
        <w:trPr>
          <w:trHeight w:val="285"/>
          <w:jc w:val="center"/>
        </w:trPr>
        <w:tc>
          <w:tcPr>
            <w:tcW w:w="0" w:type="auto"/>
            <w:vMerge/>
            <w:vAlign w:val="center"/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作为负责人立项</w:t>
            </w:r>
          </w:p>
        </w:tc>
        <w:tc>
          <w:tcPr>
            <w:tcW w:w="2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</w:tr>
      <w:tr w:rsidR="008E3C46" w:rsidRPr="008E3C46" w:rsidTr="008E6C01">
        <w:trPr>
          <w:trHeight w:val="478"/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国家级奖项</w:t>
            </w:r>
          </w:p>
        </w:tc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个人奖项</w:t>
            </w:r>
          </w:p>
        </w:tc>
        <w:tc>
          <w:tcPr>
            <w:tcW w:w="2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</w:tr>
      <w:tr w:rsidR="008E3C46" w:rsidRPr="008E3C46" w:rsidTr="008E6C01">
        <w:trPr>
          <w:trHeight w:val="429"/>
          <w:jc w:val="center"/>
        </w:trPr>
        <w:tc>
          <w:tcPr>
            <w:tcW w:w="1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省市级奖项</w:t>
            </w:r>
          </w:p>
        </w:tc>
        <w:tc>
          <w:tcPr>
            <w:tcW w:w="3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个人奖项</w:t>
            </w:r>
          </w:p>
        </w:tc>
        <w:tc>
          <w:tcPr>
            <w:tcW w:w="2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8E3C46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8E3C46" w:rsidRPr="008E3C46" w:rsidTr="008E6C01">
        <w:trPr>
          <w:trHeight w:val="429"/>
          <w:jc w:val="center"/>
        </w:trPr>
        <w:tc>
          <w:tcPr>
            <w:tcW w:w="560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352BD7">
            <w:pPr>
              <w:widowControl/>
              <w:spacing w:line="360" w:lineRule="auto"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担任研究生助教、助管、助研等职务</w:t>
            </w:r>
          </w:p>
        </w:tc>
        <w:tc>
          <w:tcPr>
            <w:tcW w:w="26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3C46" w:rsidRPr="008E3C46" w:rsidRDefault="008E3C46" w:rsidP="00352BD7">
            <w:pPr>
              <w:widowControl/>
              <w:spacing w:line="360" w:lineRule="auto"/>
              <w:jc w:val="center"/>
              <w:textAlignment w:val="top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3C46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</w:tbl>
    <w:p w:rsidR="008E3C46" w:rsidRDefault="008E3C46">
      <w:pPr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</w:pPr>
    </w:p>
    <w:p w:rsidR="00C30B0B" w:rsidRDefault="00C30B0B">
      <w:pPr>
        <w:rPr>
          <w:rFonts w:ascii="宋体" w:hAnsi="宋体" w:cs="宋体"/>
          <w:color w:val="000000"/>
          <w:kern w:val="0"/>
          <w:sz w:val="18"/>
          <w:szCs w:val="18"/>
          <w:shd w:val="clear" w:color="auto" w:fill="FFFFFF"/>
        </w:rPr>
      </w:pPr>
    </w:p>
    <w:sectPr w:rsidR="00C30B0B" w:rsidSect="00C30B0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758" w:rsidRDefault="00602758" w:rsidP="00A77820">
      <w:r>
        <w:separator/>
      </w:r>
    </w:p>
  </w:endnote>
  <w:endnote w:type="continuationSeparator" w:id="0">
    <w:p w:rsidR="00602758" w:rsidRDefault="00602758" w:rsidP="00A7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758" w:rsidRDefault="00602758" w:rsidP="00A77820">
      <w:r>
        <w:separator/>
      </w:r>
    </w:p>
  </w:footnote>
  <w:footnote w:type="continuationSeparator" w:id="0">
    <w:p w:rsidR="00602758" w:rsidRDefault="00602758" w:rsidP="00A7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A7367"/>
    <w:multiLevelType w:val="multilevel"/>
    <w:tmpl w:val="5B4A7367"/>
    <w:lvl w:ilvl="0">
      <w:start w:val="5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6A23B0"/>
    <w:multiLevelType w:val="hybridMultilevel"/>
    <w:tmpl w:val="F902590A"/>
    <w:lvl w:ilvl="0" w:tplc="D74AB414">
      <w:start w:val="1"/>
      <w:numFmt w:val="decimal"/>
      <w:lvlText w:val="%1、"/>
      <w:lvlJc w:val="left"/>
      <w:pPr>
        <w:ind w:left="676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31"/>
    <w:rsid w:val="00010764"/>
    <w:rsid w:val="00017D58"/>
    <w:rsid w:val="000347B9"/>
    <w:rsid w:val="00057831"/>
    <w:rsid w:val="00070F8B"/>
    <w:rsid w:val="00082C58"/>
    <w:rsid w:val="000B3814"/>
    <w:rsid w:val="000B3DA7"/>
    <w:rsid w:val="000C2D27"/>
    <w:rsid w:val="000D619D"/>
    <w:rsid w:val="00110E4F"/>
    <w:rsid w:val="00114A59"/>
    <w:rsid w:val="0012115E"/>
    <w:rsid w:val="0013166B"/>
    <w:rsid w:val="00146CD1"/>
    <w:rsid w:val="001578BE"/>
    <w:rsid w:val="001867EF"/>
    <w:rsid w:val="0019146A"/>
    <w:rsid w:val="001A0C56"/>
    <w:rsid w:val="001A32E3"/>
    <w:rsid w:val="001B38A4"/>
    <w:rsid w:val="001B634F"/>
    <w:rsid w:val="001C27CE"/>
    <w:rsid w:val="001C447E"/>
    <w:rsid w:val="001D44A0"/>
    <w:rsid w:val="001D4593"/>
    <w:rsid w:val="001E51BD"/>
    <w:rsid w:val="001F7330"/>
    <w:rsid w:val="00203786"/>
    <w:rsid w:val="00222886"/>
    <w:rsid w:val="00232D28"/>
    <w:rsid w:val="00273933"/>
    <w:rsid w:val="002763CF"/>
    <w:rsid w:val="00280242"/>
    <w:rsid w:val="00293281"/>
    <w:rsid w:val="002D1CCA"/>
    <w:rsid w:val="002E1BD1"/>
    <w:rsid w:val="002E2A14"/>
    <w:rsid w:val="002E30E0"/>
    <w:rsid w:val="002E6AFF"/>
    <w:rsid w:val="002F74FC"/>
    <w:rsid w:val="002F787F"/>
    <w:rsid w:val="003228A2"/>
    <w:rsid w:val="0032618A"/>
    <w:rsid w:val="00331690"/>
    <w:rsid w:val="00352BD7"/>
    <w:rsid w:val="00362E1F"/>
    <w:rsid w:val="003643BC"/>
    <w:rsid w:val="0036544C"/>
    <w:rsid w:val="00372178"/>
    <w:rsid w:val="00384EFF"/>
    <w:rsid w:val="003A2D41"/>
    <w:rsid w:val="003D01B4"/>
    <w:rsid w:val="003D2A74"/>
    <w:rsid w:val="003F01C9"/>
    <w:rsid w:val="004047CC"/>
    <w:rsid w:val="00407A6A"/>
    <w:rsid w:val="00415546"/>
    <w:rsid w:val="00431D53"/>
    <w:rsid w:val="00435FC0"/>
    <w:rsid w:val="00436CE8"/>
    <w:rsid w:val="00447912"/>
    <w:rsid w:val="004545FD"/>
    <w:rsid w:val="00476E3F"/>
    <w:rsid w:val="004817CC"/>
    <w:rsid w:val="0048482F"/>
    <w:rsid w:val="004A3FDD"/>
    <w:rsid w:val="004D7CD5"/>
    <w:rsid w:val="004F548E"/>
    <w:rsid w:val="005043E9"/>
    <w:rsid w:val="005416B0"/>
    <w:rsid w:val="00543582"/>
    <w:rsid w:val="00554878"/>
    <w:rsid w:val="00560C78"/>
    <w:rsid w:val="00561172"/>
    <w:rsid w:val="005A1BB9"/>
    <w:rsid w:val="005B0C62"/>
    <w:rsid w:val="005B44E1"/>
    <w:rsid w:val="005B4BFA"/>
    <w:rsid w:val="005C3C69"/>
    <w:rsid w:val="005C5AF0"/>
    <w:rsid w:val="00602758"/>
    <w:rsid w:val="006B7A0E"/>
    <w:rsid w:val="006D403F"/>
    <w:rsid w:val="0070752B"/>
    <w:rsid w:val="00716F9C"/>
    <w:rsid w:val="00723BE8"/>
    <w:rsid w:val="007356DF"/>
    <w:rsid w:val="00763956"/>
    <w:rsid w:val="00777B9A"/>
    <w:rsid w:val="007908EC"/>
    <w:rsid w:val="007A18DC"/>
    <w:rsid w:val="007B6F34"/>
    <w:rsid w:val="007C2561"/>
    <w:rsid w:val="007D5A60"/>
    <w:rsid w:val="00805382"/>
    <w:rsid w:val="00806DCE"/>
    <w:rsid w:val="00811D4E"/>
    <w:rsid w:val="00811D81"/>
    <w:rsid w:val="00842AA3"/>
    <w:rsid w:val="0085345A"/>
    <w:rsid w:val="00856E53"/>
    <w:rsid w:val="008774EA"/>
    <w:rsid w:val="00890062"/>
    <w:rsid w:val="008A7505"/>
    <w:rsid w:val="008B578C"/>
    <w:rsid w:val="008D7F8B"/>
    <w:rsid w:val="008E3C46"/>
    <w:rsid w:val="008E5017"/>
    <w:rsid w:val="008E6C01"/>
    <w:rsid w:val="008F40A1"/>
    <w:rsid w:val="00917EA5"/>
    <w:rsid w:val="00921322"/>
    <w:rsid w:val="009334E7"/>
    <w:rsid w:val="00935C82"/>
    <w:rsid w:val="00953C24"/>
    <w:rsid w:val="00955137"/>
    <w:rsid w:val="0096069C"/>
    <w:rsid w:val="0096323E"/>
    <w:rsid w:val="00963E6E"/>
    <w:rsid w:val="009B120C"/>
    <w:rsid w:val="009C7202"/>
    <w:rsid w:val="009D0341"/>
    <w:rsid w:val="009E29CE"/>
    <w:rsid w:val="009E2B55"/>
    <w:rsid w:val="009F7687"/>
    <w:rsid w:val="00A048BA"/>
    <w:rsid w:val="00A148F8"/>
    <w:rsid w:val="00A15220"/>
    <w:rsid w:val="00A453C9"/>
    <w:rsid w:val="00A56DC9"/>
    <w:rsid w:val="00A76529"/>
    <w:rsid w:val="00A77820"/>
    <w:rsid w:val="00A87907"/>
    <w:rsid w:val="00AC05EF"/>
    <w:rsid w:val="00AC2B9F"/>
    <w:rsid w:val="00AF3886"/>
    <w:rsid w:val="00B13CF2"/>
    <w:rsid w:val="00B14338"/>
    <w:rsid w:val="00B37F7F"/>
    <w:rsid w:val="00B51049"/>
    <w:rsid w:val="00B620F1"/>
    <w:rsid w:val="00BB4524"/>
    <w:rsid w:val="00BC31D1"/>
    <w:rsid w:val="00BC4250"/>
    <w:rsid w:val="00BC4751"/>
    <w:rsid w:val="00BE5955"/>
    <w:rsid w:val="00BE75CE"/>
    <w:rsid w:val="00BF2426"/>
    <w:rsid w:val="00C046D8"/>
    <w:rsid w:val="00C05011"/>
    <w:rsid w:val="00C2049F"/>
    <w:rsid w:val="00C30B0B"/>
    <w:rsid w:val="00C3310F"/>
    <w:rsid w:val="00C52DAB"/>
    <w:rsid w:val="00C53277"/>
    <w:rsid w:val="00C54CB3"/>
    <w:rsid w:val="00C552D0"/>
    <w:rsid w:val="00C71E9D"/>
    <w:rsid w:val="00C808F9"/>
    <w:rsid w:val="00CC5637"/>
    <w:rsid w:val="00CF0BCC"/>
    <w:rsid w:val="00D07AC5"/>
    <w:rsid w:val="00D12313"/>
    <w:rsid w:val="00D30EDA"/>
    <w:rsid w:val="00D40BF7"/>
    <w:rsid w:val="00D5181F"/>
    <w:rsid w:val="00D53F34"/>
    <w:rsid w:val="00D80B9D"/>
    <w:rsid w:val="00D9656B"/>
    <w:rsid w:val="00D975C1"/>
    <w:rsid w:val="00DA4634"/>
    <w:rsid w:val="00DA7670"/>
    <w:rsid w:val="00DB0D70"/>
    <w:rsid w:val="00DD1451"/>
    <w:rsid w:val="00DD3883"/>
    <w:rsid w:val="00DD7BC2"/>
    <w:rsid w:val="00DE5406"/>
    <w:rsid w:val="00DF2FB9"/>
    <w:rsid w:val="00E1625C"/>
    <w:rsid w:val="00E31751"/>
    <w:rsid w:val="00E36970"/>
    <w:rsid w:val="00E41F93"/>
    <w:rsid w:val="00E5460E"/>
    <w:rsid w:val="00E650E1"/>
    <w:rsid w:val="00E92357"/>
    <w:rsid w:val="00EA756D"/>
    <w:rsid w:val="00EC0E3A"/>
    <w:rsid w:val="00EC6EC5"/>
    <w:rsid w:val="00EE3D4D"/>
    <w:rsid w:val="00EF106C"/>
    <w:rsid w:val="00F11FEE"/>
    <w:rsid w:val="00F14486"/>
    <w:rsid w:val="00F16230"/>
    <w:rsid w:val="00F31258"/>
    <w:rsid w:val="00F32992"/>
    <w:rsid w:val="00F43E44"/>
    <w:rsid w:val="00F50D8F"/>
    <w:rsid w:val="00F54560"/>
    <w:rsid w:val="00F61F8F"/>
    <w:rsid w:val="00F81987"/>
    <w:rsid w:val="00F878D5"/>
    <w:rsid w:val="00FA48BE"/>
    <w:rsid w:val="00FB4863"/>
    <w:rsid w:val="00FF5460"/>
    <w:rsid w:val="093E337D"/>
    <w:rsid w:val="14977CD7"/>
    <w:rsid w:val="30F67E62"/>
    <w:rsid w:val="34022063"/>
    <w:rsid w:val="3F7D0099"/>
    <w:rsid w:val="4C58104F"/>
    <w:rsid w:val="600E33F2"/>
    <w:rsid w:val="78304CBF"/>
    <w:rsid w:val="794145E0"/>
    <w:rsid w:val="7E79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7CA66CF0-F461-4951-BFEF-6BAC9367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B0B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30B0B"/>
    <w:rPr>
      <w:sz w:val="18"/>
      <w:szCs w:val="18"/>
    </w:rPr>
  </w:style>
  <w:style w:type="table" w:styleId="a4">
    <w:name w:val="Table Grid"/>
    <w:basedOn w:val="a1"/>
    <w:uiPriority w:val="59"/>
    <w:rsid w:val="00C30B0B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C30B0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C30B0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semiHidden/>
    <w:unhideWhenUsed/>
    <w:rsid w:val="00A77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rsid w:val="00A77820"/>
    <w:rPr>
      <w:rFonts w:ascii="Times New Roman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1"/>
    <w:semiHidden/>
    <w:unhideWhenUsed/>
    <w:rsid w:val="00A77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semiHidden/>
    <w:rsid w:val="00A77820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1327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59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7048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835257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617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9062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8437">
                  <w:marLeft w:val="3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1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7756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5204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9045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3163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21682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9844">
                  <w:marLeft w:val="6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1619">
                  <w:marLeft w:val="3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上海戏剧学院2014--2015学年博士研究生学业奖学金评定条例（试行）</dc:title>
  <dc:creator>User</dc:creator>
  <cp:lastModifiedBy>fangwen</cp:lastModifiedBy>
  <cp:revision>2</cp:revision>
  <cp:lastPrinted>2017-09-30T07:56:00Z</cp:lastPrinted>
  <dcterms:created xsi:type="dcterms:W3CDTF">2019-10-10T09:07:00Z</dcterms:created>
  <dcterms:modified xsi:type="dcterms:W3CDTF">2019-10-10T09:07:00Z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