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270" w:lineRule="atLeast"/>
        <w:jc w:val="center"/>
        <w:textAlignment w:val="top"/>
        <w:rPr>
          <w:rFonts w:ascii="宋体" w:hAnsi="宋体" w:cs="宋体"/>
          <w:b/>
          <w:color w:val="000000"/>
          <w:kern w:val="0"/>
          <w:sz w:val="24"/>
          <w:shd w:val="clear" w:color="auto" w:fill="FFFFFF"/>
        </w:rPr>
      </w:pPr>
      <w:r>
        <w:rPr>
          <w:rFonts w:ascii="宋体" w:hAnsi="宋体" w:cs="宋体"/>
          <w:b/>
          <w:color w:val="000000"/>
          <w:kern w:val="0"/>
          <w:sz w:val="24"/>
          <w:shd w:val="clear" w:color="auto" w:fill="FFFFFF"/>
        </w:rPr>
        <w:t>上海</w:t>
      </w:r>
      <w:r>
        <w:rPr>
          <w:rFonts w:hint="eastAsia" w:ascii="宋体" w:hAnsi="宋体" w:cs="宋体"/>
          <w:b/>
          <w:color w:val="000000"/>
          <w:kern w:val="0"/>
          <w:sz w:val="24"/>
          <w:shd w:val="clear" w:color="auto" w:fill="FFFFFF"/>
        </w:rPr>
        <w:t>戏剧</w:t>
      </w:r>
      <w:r>
        <w:rPr>
          <w:rFonts w:ascii="宋体" w:hAnsi="宋体" w:cs="宋体"/>
          <w:b/>
          <w:color w:val="000000"/>
          <w:kern w:val="0"/>
          <w:sz w:val="24"/>
          <w:shd w:val="clear" w:color="auto" w:fill="FFFFFF"/>
        </w:rPr>
        <w:t>学院</w:t>
      </w:r>
      <w:r>
        <w:rPr>
          <w:rFonts w:hint="eastAsia" w:ascii="宋体" w:hAnsi="宋体" w:cs="宋体"/>
          <w:b/>
          <w:color w:val="000000"/>
          <w:kern w:val="0"/>
          <w:sz w:val="24"/>
          <w:shd w:val="clear" w:color="auto" w:fill="FFFFFF"/>
          <w:lang w:val="en-US" w:eastAsia="zh-CN"/>
        </w:rPr>
        <w:t>2014--2015学年</w:t>
      </w:r>
      <w:r>
        <w:rPr>
          <w:rFonts w:hint="eastAsia" w:ascii="宋体" w:hAnsi="宋体" w:cs="宋体"/>
          <w:b/>
          <w:color w:val="000000"/>
          <w:kern w:val="0"/>
          <w:sz w:val="24"/>
          <w:shd w:val="clear" w:color="auto" w:fill="FFFFFF"/>
        </w:rPr>
        <w:t>博士</w:t>
      </w:r>
      <w:r>
        <w:rPr>
          <w:rFonts w:ascii="宋体" w:hAnsi="宋体" w:cs="宋体"/>
          <w:b/>
          <w:color w:val="000000"/>
          <w:kern w:val="0"/>
          <w:sz w:val="24"/>
          <w:shd w:val="clear" w:color="auto" w:fill="FFFFFF"/>
        </w:rPr>
        <w:t>研究生学业奖学金</w:t>
      </w:r>
      <w:r>
        <w:rPr>
          <w:rFonts w:hint="eastAsia" w:ascii="宋体" w:hAnsi="宋体" w:cs="宋体"/>
          <w:b/>
          <w:color w:val="000000"/>
          <w:kern w:val="0"/>
          <w:sz w:val="24"/>
          <w:shd w:val="clear" w:color="auto" w:fill="FFFFFF"/>
        </w:rPr>
        <w:t>评定条例（试行）</w:t>
      </w:r>
    </w:p>
    <w:p>
      <w:pPr>
        <w:widowControl/>
        <w:spacing w:line="360" w:lineRule="auto"/>
        <w:ind w:firstLine="480" w:firstLineChars="200"/>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为深化研究生培养机制改革，提高研究生培养质量，激励研究生勤奋学习、潜心科研、勇于创新、积极进取，在全面实行研究生收费制度的情况下支持研究生顺利完成学业，根据《财政部 国家发展改革委 教育部关于完善研究生教育投入机制的意见》（财教〔2013〕19号）、《财政部 教育部关于印发&lt;研究</w:t>
      </w:r>
      <w:bookmarkStart w:id="0" w:name="_GoBack"/>
      <w:bookmarkEnd w:id="0"/>
      <w:r>
        <w:rPr>
          <w:rFonts w:hint="eastAsia" w:ascii="宋体" w:hAnsi="宋体" w:cs="宋体"/>
          <w:color w:val="000000"/>
          <w:kern w:val="0"/>
          <w:sz w:val="24"/>
          <w:shd w:val="clear" w:color="auto" w:fill="FFFFFF"/>
        </w:rPr>
        <w:t>生学业奖学金暂行管理办法&gt;的通知》（财教〔2013〕219号）以及上海市财政局、上海市教委下发的《上海市地方高校研究生学业奖学金管理暂行办法》（沪财教〔2014〕2号）的有关要求，结合本校实际，制定本条例。</w:t>
      </w:r>
    </w:p>
    <w:p>
      <w:pPr>
        <w:widowControl/>
        <w:spacing w:line="360" w:lineRule="auto"/>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一、设奖类别</w:t>
      </w:r>
    </w:p>
    <w:p>
      <w:pPr>
        <w:widowControl/>
        <w:spacing w:line="360" w:lineRule="auto"/>
        <w:ind w:firstLine="480" w:firstLineChars="200"/>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博士研究生学业奖学金设特等奖、一等奖、二等奖、三等奖四个等次。</w:t>
      </w:r>
    </w:p>
    <w:p>
      <w:pPr>
        <w:widowControl/>
        <w:spacing w:line="270" w:lineRule="atLeast"/>
        <w:jc w:val="left"/>
        <w:textAlignment w:val="top"/>
        <w:rPr>
          <w:rFonts w:ascii="宋体" w:hAnsi="宋体" w:cs="宋体"/>
          <w:b/>
          <w:bCs/>
          <w:color w:val="000000"/>
          <w:kern w:val="0"/>
          <w:sz w:val="24"/>
          <w:shd w:val="clear" w:color="auto" w:fill="FFFFFF"/>
        </w:rPr>
      </w:pPr>
    </w:p>
    <w:p>
      <w:pPr>
        <w:widowControl/>
        <w:spacing w:line="270" w:lineRule="atLeast"/>
        <w:jc w:val="left"/>
        <w:textAlignment w:val="top"/>
        <w:rPr>
          <w:rFonts w:ascii="宋体" w:hAnsi="宋体" w:cs="宋体"/>
          <w:b/>
          <w:bCs/>
          <w:color w:val="000000"/>
          <w:kern w:val="0"/>
          <w:sz w:val="24"/>
          <w:shd w:val="clear" w:color="auto" w:fill="FFFFFF"/>
        </w:rPr>
      </w:pPr>
      <w:r>
        <w:rPr>
          <w:rFonts w:hint="eastAsia" w:ascii="宋体" w:hAnsi="宋体" w:cs="宋体"/>
          <w:b/>
          <w:bCs/>
          <w:color w:val="000000"/>
          <w:kern w:val="0"/>
          <w:sz w:val="24"/>
          <w:shd w:val="clear" w:color="auto" w:fill="FFFFFF"/>
        </w:rPr>
        <w:t>二、参评对象</w:t>
      </w:r>
    </w:p>
    <w:p>
      <w:pPr>
        <w:widowControl/>
        <w:spacing w:line="360" w:lineRule="auto"/>
        <w:ind w:firstLine="480" w:firstLineChars="200"/>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自201</w:t>
      </w:r>
      <w:r>
        <w:rPr>
          <w:rFonts w:hint="eastAsia" w:ascii="宋体" w:hAnsi="宋体" w:cs="宋体"/>
          <w:color w:val="000000"/>
          <w:kern w:val="0"/>
          <w:sz w:val="24"/>
          <w:shd w:val="clear" w:color="auto" w:fill="FFFFFF"/>
          <w:lang w:val="en-US" w:eastAsia="zh-CN"/>
        </w:rPr>
        <w:t>3</w:t>
      </w:r>
      <w:r>
        <w:rPr>
          <w:rFonts w:hint="eastAsia" w:ascii="宋体" w:hAnsi="宋体" w:cs="宋体"/>
          <w:color w:val="000000"/>
          <w:kern w:val="0"/>
          <w:sz w:val="24"/>
          <w:shd w:val="clear" w:color="auto" w:fill="FFFFFF"/>
        </w:rPr>
        <w:t>年秋季学期起纳入全国研究生招生计划的全日制研究生及学制内博士研究生。留学生、人事档案不转入本校的研究生除外。</w:t>
      </w:r>
    </w:p>
    <w:p>
      <w:pPr>
        <w:widowControl/>
        <w:spacing w:line="360" w:lineRule="auto"/>
        <w:ind w:firstLine="480" w:firstLineChars="200"/>
        <w:jc w:val="left"/>
        <w:textAlignment w:val="top"/>
        <w:rPr>
          <w:rFonts w:ascii="宋体" w:hAnsi="宋体" w:cs="宋体"/>
          <w:color w:val="000000"/>
          <w:kern w:val="0"/>
          <w:sz w:val="24"/>
          <w:shd w:val="clear" w:color="auto" w:fill="FFFFFF"/>
        </w:rPr>
      </w:pPr>
    </w:p>
    <w:p>
      <w:pPr>
        <w:widowControl/>
        <w:spacing w:line="360" w:lineRule="auto"/>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三、评定条件</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（一）热爱社会主义祖国，拥护中国共产党的领导；</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（二）遵守国家有关法律和学校的规章制度；</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（三）勤奋学习，努力掌握专业知识，各门课程学习成绩优秀；</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（四）热爱集体，品德优良，积极参加各类研究生集体活动和社会实践活动。</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否决条件：（凡属下列情况之一者不能参与评选）</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（一）凡受到学校各类处分及通报批评者，学术研究中有弄虚作假行为者，有其它违纪行为、造成恶劣影响者。</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（二）报到注册无故迟到者。无故不请假离校一周以上者。</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（三）本人所选全部课程有不及格者。</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（四）在学校组织的各类党建考核中不及格的研究生党员。</w:t>
      </w:r>
    </w:p>
    <w:p>
      <w:pPr>
        <w:pStyle w:val="6"/>
        <w:widowControl/>
        <w:numPr>
          <w:ilvl w:val="0"/>
          <w:numId w:val="1"/>
        </w:numPr>
        <w:spacing w:line="360" w:lineRule="auto"/>
        <w:ind w:firstLineChars="0"/>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无故不参加研究生集体活动累计三次以上者。</w:t>
      </w:r>
    </w:p>
    <w:p>
      <w:pPr>
        <w:widowControl/>
        <w:spacing w:line="270" w:lineRule="atLeast"/>
        <w:jc w:val="left"/>
        <w:textAlignment w:val="top"/>
        <w:rPr>
          <w:rFonts w:ascii="宋体" w:hAnsi="宋体" w:cs="宋体"/>
          <w:color w:val="000000"/>
          <w:kern w:val="0"/>
          <w:sz w:val="24"/>
          <w:shd w:val="clear" w:color="auto" w:fill="FFFFFF"/>
        </w:rPr>
      </w:pPr>
    </w:p>
    <w:p>
      <w:pPr>
        <w:widowControl/>
        <w:spacing w:line="360" w:lineRule="auto"/>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四、评定测算方法</w:t>
      </w:r>
    </w:p>
    <w:p>
      <w:pPr>
        <w:widowControl/>
        <w:spacing w:line="360" w:lineRule="auto"/>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（一）一年级新生奖学金评定细则：</w:t>
      </w:r>
    </w:p>
    <w:p>
      <w:pPr>
        <w:widowControl/>
        <w:spacing w:line="270" w:lineRule="atLeast"/>
        <w:ind w:firstLine="354" w:firstLineChars="147"/>
        <w:jc w:val="left"/>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总分=入学成绩+科研成果评分</w:t>
      </w:r>
      <w:r>
        <w:rPr>
          <w:rFonts w:ascii="宋体" w:hAnsi="宋体" w:cs="宋体"/>
          <w:b/>
          <w:color w:val="000000"/>
          <w:kern w:val="0"/>
          <w:sz w:val="24"/>
          <w:shd w:val="clear" w:color="auto" w:fill="FFFFFF"/>
        </w:rPr>
        <w:t xml:space="preserve"> </w:t>
      </w:r>
    </w:p>
    <w:tbl>
      <w:tblPr>
        <w:tblStyle w:val="4"/>
        <w:tblW w:w="6804"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40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18" w:type="dxa"/>
            <w:vAlign w:val="center"/>
          </w:tcPr>
          <w:p>
            <w:pPr>
              <w:spacing w:line="360" w:lineRule="auto"/>
              <w:jc w:val="center"/>
              <w:rPr>
                <w:rFonts w:ascii="宋体" w:hAnsi="宋体" w:cs="宋体"/>
                <w:color w:val="000000"/>
                <w:kern w:val="0"/>
                <w:sz w:val="24"/>
                <w:shd w:val="clear" w:color="auto" w:fill="FFFFFF"/>
              </w:rPr>
            </w:pPr>
          </w:p>
        </w:tc>
        <w:tc>
          <w:tcPr>
            <w:tcW w:w="2409"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入学成绩</w:t>
            </w:r>
          </w:p>
        </w:tc>
        <w:tc>
          <w:tcPr>
            <w:tcW w:w="2977"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科研成果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18"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一年级</w:t>
            </w:r>
          </w:p>
        </w:tc>
        <w:tc>
          <w:tcPr>
            <w:tcW w:w="2409"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lang w:val="en-US" w:eastAsia="zh-CN"/>
              </w:rPr>
              <w:t>8</w:t>
            </w:r>
            <w:r>
              <w:rPr>
                <w:rFonts w:hint="eastAsia" w:ascii="宋体" w:hAnsi="宋体" w:cs="宋体"/>
                <w:color w:val="000000"/>
                <w:kern w:val="0"/>
                <w:sz w:val="24"/>
                <w:shd w:val="clear" w:color="auto" w:fill="FFFFFF"/>
              </w:rPr>
              <w:t>0%</w:t>
            </w:r>
          </w:p>
        </w:tc>
        <w:tc>
          <w:tcPr>
            <w:tcW w:w="2977"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lang w:val="en-US" w:eastAsia="zh-CN"/>
              </w:rPr>
              <w:t>2</w:t>
            </w:r>
            <w:r>
              <w:rPr>
                <w:rFonts w:hint="eastAsia" w:ascii="宋体" w:hAnsi="宋体" w:cs="宋体"/>
                <w:color w:val="000000"/>
                <w:kern w:val="0"/>
                <w:sz w:val="24"/>
                <w:shd w:val="clear" w:color="auto" w:fill="FFFFFF"/>
              </w:rPr>
              <w:t>0%</w:t>
            </w:r>
          </w:p>
        </w:tc>
      </w:tr>
    </w:tbl>
    <w:p>
      <w:pPr>
        <w:widowControl/>
        <w:spacing w:line="360" w:lineRule="auto"/>
        <w:ind w:firstLine="360" w:firstLineChars="150"/>
        <w:jc w:val="left"/>
        <w:textAlignment w:val="top"/>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入学成绩测算方法：</w:t>
      </w:r>
      <w:r>
        <w:rPr>
          <w:rFonts w:hint="eastAsia" w:ascii="宋体" w:hAnsi="宋体" w:cs="宋体"/>
          <w:color w:val="000000"/>
          <w:kern w:val="0"/>
          <w:sz w:val="24"/>
          <w:shd w:val="clear" w:color="auto" w:fill="FFFFFF"/>
          <w:lang w:eastAsia="zh-CN"/>
        </w:rPr>
        <w:t>以公共课和外语总分排名，适当参考研究方向专业综合面试成绩。</w:t>
      </w:r>
    </w:p>
    <w:p>
      <w:pPr>
        <w:widowControl/>
        <w:spacing w:line="360" w:lineRule="auto"/>
        <w:ind w:firstLine="360" w:firstLineChars="150"/>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科研成果测算方法：根据上报的硕士期间科研成果或创作成就评定等级。</w:t>
      </w:r>
      <w:r>
        <w:rPr>
          <w:rFonts w:hint="eastAsia" w:ascii="宋体" w:hAnsi="宋体" w:cs="宋体"/>
          <w:color w:val="000000"/>
          <w:kern w:val="0"/>
          <w:sz w:val="24"/>
          <w:shd w:val="clear" w:color="auto" w:fill="FFFFFF"/>
          <w:lang w:eastAsia="zh-CN"/>
        </w:rPr>
        <w:t>测算方法</w:t>
      </w:r>
      <w:r>
        <w:rPr>
          <w:rFonts w:hint="eastAsia" w:ascii="宋体" w:hAnsi="宋体" w:cs="宋体"/>
          <w:color w:val="000000"/>
          <w:kern w:val="0"/>
          <w:sz w:val="24"/>
          <w:shd w:val="clear" w:color="auto" w:fill="FFFFFF"/>
        </w:rPr>
        <w:t>参见附表1</w:t>
      </w:r>
    </w:p>
    <w:p>
      <w:pPr>
        <w:widowControl/>
        <w:spacing w:line="360" w:lineRule="auto"/>
        <w:ind w:firstLine="361" w:firstLineChars="150"/>
        <w:jc w:val="left"/>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（二）二年级、三年级奖学金评定细则：</w:t>
      </w:r>
    </w:p>
    <w:p>
      <w:pPr>
        <w:widowControl/>
        <w:spacing w:line="360" w:lineRule="auto"/>
        <w:ind w:firstLine="482" w:firstLineChars="200"/>
        <w:jc w:val="left"/>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总分=学习成绩得分+学术科研能力得分+附加分</w:t>
      </w:r>
    </w:p>
    <w:tbl>
      <w:tblPr>
        <w:tblStyle w:val="4"/>
        <w:tblW w:w="765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984"/>
        <w:gridCol w:w="2126"/>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1" w:type="dxa"/>
            <w:vAlign w:val="center"/>
          </w:tcPr>
          <w:p>
            <w:pPr>
              <w:spacing w:line="360" w:lineRule="auto"/>
              <w:jc w:val="center"/>
              <w:rPr>
                <w:rFonts w:ascii="宋体" w:hAnsi="宋体" w:cs="宋体"/>
                <w:color w:val="000000"/>
                <w:kern w:val="0"/>
                <w:sz w:val="24"/>
                <w:shd w:val="clear" w:color="auto" w:fill="FFFFFF"/>
              </w:rPr>
            </w:pPr>
          </w:p>
        </w:tc>
        <w:tc>
          <w:tcPr>
            <w:tcW w:w="1984"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课程成绩</w:t>
            </w:r>
          </w:p>
        </w:tc>
        <w:tc>
          <w:tcPr>
            <w:tcW w:w="2126"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科研成果</w:t>
            </w:r>
          </w:p>
        </w:tc>
        <w:tc>
          <w:tcPr>
            <w:tcW w:w="1844"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平时表现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1"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二年级</w:t>
            </w:r>
          </w:p>
        </w:tc>
        <w:tc>
          <w:tcPr>
            <w:tcW w:w="1984"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60%</w:t>
            </w:r>
          </w:p>
        </w:tc>
        <w:tc>
          <w:tcPr>
            <w:tcW w:w="2126"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20%</w:t>
            </w:r>
          </w:p>
        </w:tc>
        <w:tc>
          <w:tcPr>
            <w:tcW w:w="1844"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1"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三年级</w:t>
            </w:r>
          </w:p>
        </w:tc>
        <w:tc>
          <w:tcPr>
            <w:tcW w:w="1984"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10%</w:t>
            </w:r>
          </w:p>
        </w:tc>
        <w:tc>
          <w:tcPr>
            <w:tcW w:w="2126"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70%</w:t>
            </w:r>
            <w:r>
              <w:rPr>
                <w:rFonts w:hint="eastAsia" w:ascii="宋体" w:hAnsi="宋体" w:cs="宋体"/>
                <w:color w:val="000000"/>
                <w:kern w:val="0"/>
                <w:szCs w:val="21"/>
                <w:shd w:val="clear" w:color="auto" w:fill="FFFFFF"/>
              </w:rPr>
              <w:t>（论文开题情况）</w:t>
            </w:r>
          </w:p>
        </w:tc>
        <w:tc>
          <w:tcPr>
            <w:tcW w:w="1844" w:type="dxa"/>
            <w:vAlign w:val="center"/>
          </w:tcPr>
          <w:p>
            <w:pPr>
              <w:spacing w:line="360" w:lineRule="auto"/>
              <w:jc w:val="center"/>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20%</w:t>
            </w:r>
          </w:p>
        </w:tc>
      </w:tr>
    </w:tbl>
    <w:p>
      <w:pPr>
        <w:widowControl/>
        <w:spacing w:line="270" w:lineRule="atLeast"/>
        <w:jc w:val="left"/>
        <w:textAlignment w:val="top"/>
        <w:rPr>
          <w:rFonts w:ascii="宋体" w:hAnsi="宋体" w:cs="宋体"/>
          <w:color w:val="000000"/>
          <w:kern w:val="0"/>
          <w:sz w:val="24"/>
          <w:shd w:val="clear" w:color="auto" w:fill="FFFFFF"/>
        </w:rPr>
      </w:pP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备注：①课程成绩：以上一年度研究生部开设的学位课程、必修课程的学业成绩为依据，标准分方式计算，满分100分，由研究生部负责审核。</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②科研成果：包括发表论文、出版专著、科研成果获奖等，见附表1，所有发表的科研成果均须提供纸质期刊原件备查，录用通知不能作为参评依据；被SCI、SSCI、CSSCI等国际公认的检索系统全文检索的，须提供相关网页的打印纸质版；同一篇论文被不同刊物收录或转载的，以最高级别刊物积分，不累计。作者单位署名应以“上海戏剧学院博士生”为第一单位，若有通讯作者，则通讯者的第一单位也应为上海戏剧学院。科研成果的认定时间以奖学金评选工作的申请截止日期已发表见刊为准，相同科研成果在不同年度的申报工作中不得重复使用，标准分方式计算，满分100分。</w:t>
      </w:r>
    </w:p>
    <w:p>
      <w:pPr>
        <w:widowControl/>
        <w:spacing w:line="360" w:lineRule="auto"/>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③平时表现：包括上一年度中参加学校各类活动、实践服务、各类获奖情况，主要根据以下几项主要观测点细化计分。主要观测点有：学校各级各类学术及文体活动的出勤及参与情况，如紫藤博士论坛、学风道德建设讲座；参与班级、社团等相关集体工作的情况；参与公益活动、志愿服务等方面情况，满分100分。</w:t>
      </w:r>
    </w:p>
    <w:p>
      <w:pPr>
        <w:widowControl/>
        <w:spacing w:line="270" w:lineRule="atLeast"/>
        <w:jc w:val="left"/>
        <w:textAlignment w:val="top"/>
        <w:rPr>
          <w:rFonts w:ascii="宋体" w:hAnsi="宋体" w:cs="宋体"/>
          <w:color w:val="000000"/>
          <w:kern w:val="0"/>
          <w:sz w:val="24"/>
          <w:shd w:val="clear" w:color="auto" w:fill="FFFFFF"/>
        </w:rPr>
      </w:pPr>
    </w:p>
    <w:p>
      <w:pPr>
        <w:widowControl/>
        <w:spacing w:line="360" w:lineRule="auto"/>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五、评定比例和奖额</w:t>
      </w:r>
    </w:p>
    <w:p>
      <w:pPr>
        <w:widowControl/>
        <w:spacing w:line="360" w:lineRule="auto"/>
        <w:ind w:firstLine="360" w:firstLineChars="150"/>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博士研究生学业奖学金分为特等奖、一等奖学金、二等奖学金、三等奖学金，名额分别为全年级研究生人数的5%、15%、25%和30%。（注：2013级博士研究生奖学金分为特等奖、一等奖学金、二等奖学金、三等奖学金，名额分别为全年级研究生人数的5%、10%、15%和20%）。奖金金额以当年财政下发额度为准。201</w:t>
      </w:r>
      <w:r>
        <w:rPr>
          <w:rFonts w:hint="eastAsia" w:ascii="宋体" w:hAnsi="宋体" w:cs="宋体"/>
          <w:color w:val="000000"/>
          <w:kern w:val="0"/>
          <w:sz w:val="24"/>
          <w:shd w:val="clear" w:color="auto" w:fill="FFFFFF"/>
          <w:lang w:val="en-US" w:eastAsia="zh-CN"/>
        </w:rPr>
        <w:t>5</w:t>
      </w:r>
      <w:r>
        <w:rPr>
          <w:rFonts w:hint="eastAsia" w:ascii="宋体" w:hAnsi="宋体" w:cs="宋体"/>
          <w:color w:val="000000"/>
          <w:kern w:val="0"/>
          <w:sz w:val="24"/>
          <w:shd w:val="clear" w:color="auto" w:fill="FFFFFF"/>
        </w:rPr>
        <w:t>年奖励标准：特等奖：18000元；一等奖：12000元；二等奖：10000元；三等奖：8000元。</w:t>
      </w:r>
    </w:p>
    <w:p>
      <w:pPr>
        <w:widowControl/>
        <w:spacing w:line="270" w:lineRule="atLeast"/>
        <w:jc w:val="left"/>
        <w:textAlignment w:val="top"/>
        <w:rPr>
          <w:rFonts w:ascii="宋体" w:hAnsi="宋体" w:cs="宋体"/>
          <w:color w:val="000000"/>
          <w:kern w:val="0"/>
          <w:sz w:val="24"/>
          <w:shd w:val="clear" w:color="auto" w:fill="FFFFFF"/>
        </w:rPr>
      </w:pPr>
    </w:p>
    <w:p>
      <w:pPr>
        <w:widowControl/>
        <w:spacing w:line="270" w:lineRule="atLeast"/>
        <w:jc w:val="left"/>
        <w:textAlignment w:val="top"/>
        <w:rPr>
          <w:rFonts w:ascii="宋体" w:hAnsi="宋体" w:cs="宋体"/>
          <w:color w:val="000000"/>
          <w:kern w:val="0"/>
          <w:sz w:val="24"/>
          <w:shd w:val="clear" w:color="auto" w:fill="FFFFFF"/>
        </w:rPr>
      </w:pPr>
    </w:p>
    <w:p>
      <w:pPr>
        <w:widowControl/>
        <w:spacing w:line="270" w:lineRule="atLeast"/>
        <w:jc w:val="left"/>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六、评定程序</w:t>
      </w:r>
    </w:p>
    <w:p>
      <w:pPr>
        <w:widowControl/>
        <w:spacing w:line="270" w:lineRule="atLeast"/>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1、学业奖学金评定采用申报制，由研究生根据自己的情况和学校的评选条件提出申请。在研究生部网站下载区下载《上海戏剧学院研究生学业奖学金申请表》。</w:t>
      </w:r>
    </w:p>
    <w:p>
      <w:pPr>
        <w:widowControl/>
        <w:spacing w:line="270" w:lineRule="atLeast"/>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2、导师意见。填写申请表后必须得到导师的签名同意。</w:t>
      </w:r>
    </w:p>
    <w:p>
      <w:pPr>
        <w:widowControl/>
        <w:spacing w:line="270" w:lineRule="atLeast"/>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3、提交研究生办公室。由奖学金表彰评审小组审核材料，综合打分。</w:t>
      </w:r>
    </w:p>
    <w:p>
      <w:pPr>
        <w:widowControl/>
        <w:spacing w:line="270" w:lineRule="atLeast"/>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4、名单公示。</w:t>
      </w:r>
    </w:p>
    <w:p>
      <w:pPr>
        <w:widowControl/>
        <w:spacing w:line="270" w:lineRule="atLeast"/>
        <w:jc w:val="left"/>
        <w:textAlignment w:val="top"/>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5、上报学校审批。</w:t>
      </w:r>
    </w:p>
    <w:p>
      <w:pPr>
        <w:widowControl/>
        <w:spacing w:line="270" w:lineRule="atLeast"/>
        <w:jc w:val="left"/>
        <w:textAlignment w:val="top"/>
        <w:rPr>
          <w:rFonts w:ascii="宋体" w:hAnsi="宋体" w:cs="宋体"/>
          <w:color w:val="000000"/>
          <w:kern w:val="0"/>
          <w:sz w:val="24"/>
          <w:shd w:val="clear" w:color="auto" w:fill="FFFFFF"/>
        </w:rPr>
      </w:pPr>
    </w:p>
    <w:p>
      <w:pPr>
        <w:widowControl/>
        <w:spacing w:line="270" w:lineRule="atLeast"/>
        <w:jc w:val="left"/>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七、本办法由上海戏剧学院研究生部、财务处负责解释。</w:t>
      </w:r>
    </w:p>
    <w:p>
      <w:pPr>
        <w:widowControl/>
        <w:spacing w:line="270" w:lineRule="atLeast"/>
        <w:jc w:val="left"/>
        <w:textAlignment w:val="top"/>
        <w:rPr>
          <w:rFonts w:ascii="宋体" w:hAnsi="宋体" w:cs="宋体"/>
          <w:color w:val="000000"/>
          <w:kern w:val="0"/>
          <w:sz w:val="24"/>
          <w:shd w:val="clear" w:color="auto" w:fill="FFFFFF"/>
        </w:rPr>
      </w:pPr>
    </w:p>
    <w:p>
      <w:pPr>
        <w:widowControl/>
        <w:spacing w:line="270" w:lineRule="atLeast"/>
        <w:jc w:val="left"/>
        <w:textAlignment w:val="top"/>
        <w:rPr>
          <w:rFonts w:ascii="宋体" w:hAnsi="宋体" w:cs="宋体"/>
          <w:b/>
          <w:color w:val="000000"/>
          <w:kern w:val="0"/>
          <w:sz w:val="24"/>
          <w:shd w:val="clear" w:color="auto" w:fill="FFFFFF"/>
        </w:rPr>
      </w:pPr>
      <w:r>
        <w:rPr>
          <w:rFonts w:hint="eastAsia" w:ascii="宋体" w:hAnsi="宋体" w:cs="宋体"/>
          <w:b/>
          <w:color w:val="000000"/>
          <w:kern w:val="0"/>
          <w:sz w:val="24"/>
          <w:shd w:val="clear" w:color="auto" w:fill="FFFFFF"/>
        </w:rPr>
        <w:t>八、本办法自公布之日起生效。</w:t>
      </w: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rPr>
          <w:rFonts w:ascii="宋体" w:hAnsi="宋体" w:cs="宋体"/>
          <w:color w:val="000000"/>
          <w:kern w:val="0"/>
          <w:sz w:val="18"/>
          <w:szCs w:val="18"/>
          <w:shd w:val="clear" w:color="auto" w:fill="FFFFFF"/>
        </w:rPr>
      </w:pPr>
    </w:p>
    <w:p>
      <w:pPr>
        <w:widowControl/>
        <w:spacing w:line="360" w:lineRule="auto"/>
        <w:jc w:val="left"/>
        <w:textAlignment w:val="top"/>
        <w:rPr>
          <w:rFonts w:ascii="宋体" w:hAnsi="宋体" w:eastAsia="宋体" w:cs="宋体"/>
          <w:b/>
          <w:kern w:val="0"/>
          <w:sz w:val="24"/>
          <w:szCs w:val="24"/>
        </w:rPr>
      </w:pPr>
      <w:r>
        <w:rPr>
          <w:rFonts w:hint="eastAsia" w:ascii="宋体" w:hAnsi="宋体" w:cs="宋体"/>
          <w:b/>
          <w:color w:val="000000"/>
          <w:kern w:val="0"/>
          <w:sz w:val="24"/>
          <w:szCs w:val="24"/>
          <w:lang w:val="en-US" w:eastAsia="zh-CN"/>
        </w:rPr>
        <w:t xml:space="preserve">   </w:t>
      </w:r>
      <w:r>
        <w:rPr>
          <w:rFonts w:hint="eastAsia" w:ascii="宋体" w:hAnsi="宋体" w:cs="宋体"/>
          <w:b/>
          <w:color w:val="000000"/>
          <w:kern w:val="0"/>
          <w:sz w:val="24"/>
          <w:szCs w:val="24"/>
          <w:lang w:eastAsia="zh-CN"/>
        </w:rPr>
        <w:t>附表</w:t>
      </w:r>
      <w:r>
        <w:rPr>
          <w:rFonts w:hint="eastAsia" w:ascii="宋体" w:hAnsi="宋体" w:cs="宋体"/>
          <w:b/>
          <w:color w:val="000000"/>
          <w:kern w:val="0"/>
          <w:sz w:val="24"/>
          <w:szCs w:val="24"/>
          <w:lang w:val="en-US" w:eastAsia="zh-CN"/>
        </w:rPr>
        <w:t xml:space="preserve">1    </w:t>
      </w:r>
      <w:r>
        <w:rPr>
          <w:rFonts w:hint="eastAsia" w:ascii="宋体" w:hAnsi="宋体" w:eastAsia="宋体" w:cs="宋体"/>
          <w:b/>
          <w:color w:val="000000"/>
          <w:kern w:val="0"/>
          <w:sz w:val="24"/>
          <w:szCs w:val="24"/>
        </w:rPr>
        <w:t xml:space="preserve">学术科研能力得分办法 </w:t>
      </w:r>
    </w:p>
    <w:tbl>
      <w:tblPr>
        <w:tblStyle w:val="5"/>
        <w:tblW w:w="7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15"/>
        <w:gridCol w:w="2693"/>
        <w:gridCol w:w="2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8" w:hRule="atLeast"/>
          <w:jc w:val="center"/>
        </w:trPr>
        <w:tc>
          <w:tcPr>
            <w:tcW w:w="2915" w:type="dxa"/>
            <w:vAlign w:val="center"/>
          </w:tcPr>
          <w:p>
            <w:pPr>
              <w:widowControl/>
              <w:spacing w:line="360" w:lineRule="auto"/>
              <w:jc w:val="center"/>
              <w:textAlignment w:val="top"/>
              <w:rPr>
                <w:rFonts w:ascii="宋体" w:hAnsi="宋体" w:eastAsia="宋体" w:cs="宋体"/>
                <w:kern w:val="0"/>
                <w:sz w:val="16"/>
                <w:szCs w:val="16"/>
              </w:rPr>
            </w:pPr>
            <w:r>
              <w:rPr>
                <w:rFonts w:hint="eastAsia" w:ascii="宋体" w:hAnsi="宋体" w:eastAsia="宋体" w:cs="宋体"/>
                <w:color w:val="000000"/>
                <w:kern w:val="0"/>
                <w:sz w:val="24"/>
                <w:szCs w:val="24"/>
              </w:rPr>
              <w:t>课题、学术理论论文类别</w:t>
            </w:r>
          </w:p>
        </w:tc>
        <w:tc>
          <w:tcPr>
            <w:tcW w:w="4874" w:type="dxa"/>
            <w:gridSpan w:val="2"/>
            <w:vAlign w:val="center"/>
          </w:tcPr>
          <w:p>
            <w:pPr>
              <w:widowControl/>
              <w:spacing w:line="360" w:lineRule="auto"/>
              <w:ind w:firstLine="480"/>
              <w:jc w:val="center"/>
              <w:textAlignment w:val="top"/>
              <w:rPr>
                <w:rFonts w:ascii="宋体" w:hAnsi="宋体" w:eastAsia="宋体" w:cs="宋体"/>
                <w:kern w:val="0"/>
                <w:sz w:val="16"/>
                <w:szCs w:val="16"/>
              </w:rPr>
            </w:pPr>
            <w:r>
              <w:rPr>
                <w:rFonts w:hint="eastAsia" w:ascii="宋体" w:hAnsi="宋体" w:eastAsia="宋体" w:cs="宋体"/>
                <w:color w:val="000000"/>
                <w:kern w:val="0"/>
                <w:sz w:val="24"/>
                <w:szCs w:val="24"/>
              </w:rPr>
              <w:t>奖励标准（单位：分）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44" w:hRule="atLeast"/>
          <w:jc w:val="center"/>
        </w:trPr>
        <w:tc>
          <w:tcPr>
            <w:tcW w:w="2915" w:type="dxa"/>
            <w:vAlign w:val="center"/>
          </w:tcPr>
          <w:p>
            <w:pPr>
              <w:widowControl/>
              <w:spacing w:line="360" w:lineRule="auto"/>
              <w:ind w:firstLine="480"/>
              <w:jc w:val="center"/>
              <w:textAlignment w:val="top"/>
              <w:rPr>
                <w:rFonts w:ascii="宋体" w:hAnsi="宋体" w:eastAsia="宋体" w:cs="宋体"/>
                <w:kern w:val="0"/>
                <w:sz w:val="16"/>
                <w:szCs w:val="16"/>
              </w:rPr>
            </w:pPr>
            <w:r>
              <w:rPr>
                <w:rFonts w:hint="eastAsia" w:ascii="宋体" w:hAnsi="宋体" w:eastAsia="宋体" w:cs="宋体"/>
                <w:color w:val="000000"/>
                <w:kern w:val="0"/>
                <w:sz w:val="24"/>
                <w:szCs w:val="24"/>
              </w:rPr>
              <w:t>核心期刊（参照南大、北大）、非核心期刊、专著、译著、实践等</w:t>
            </w:r>
          </w:p>
        </w:tc>
        <w:tc>
          <w:tcPr>
            <w:tcW w:w="4874" w:type="dxa"/>
            <w:gridSpan w:val="2"/>
            <w:tcBorders>
              <w:bottom w:val="single" w:color="000000" w:sz="4" w:space="0"/>
            </w:tcBorders>
            <w:vAlign w:val="top"/>
          </w:tcPr>
          <w:p>
            <w:pPr>
              <w:spacing w:line="360" w:lineRule="auto"/>
              <w:ind w:firstLine="315" w:firstLineChars="150"/>
              <w:jc w:val="left"/>
              <w:textAlignment w:val="top"/>
              <w:rPr>
                <w:rFonts w:ascii="宋体" w:hAnsi="宋体" w:eastAsia="宋体" w:cs="宋体"/>
                <w:kern w:val="0"/>
                <w:szCs w:val="21"/>
              </w:rPr>
            </w:pPr>
            <w:r>
              <w:rPr>
                <w:rFonts w:hint="eastAsia" w:ascii="宋体" w:hAnsi="宋体" w:eastAsia="宋体" w:cs="宋体"/>
                <w:kern w:val="0"/>
                <w:szCs w:val="21"/>
              </w:rPr>
              <w:t>专著每1万字计1分；译著每2万字计1分；南大、南大扩展版、北大核心期刊5000字以上，独著400字计1分，第一作者计0.7分，第二作者0.3分；北大核心期刊低于1500字，独著计2分，第一作者计1.4分，第二作者0.6分；5000字以下，独著每500字计1分，第一作者计0.7分，第二作者0.3分；非核心期刊，独著每1000字计1分，第一作者计0.7分，第二作者计0.3分，非核心2000字以下不计分；论文集每2000字计1分；非学术机构出版刊物不计分；著作、论文得奖依奖项影响力酌情计分，其他实践类奖项不计分；论文须正式发表、出版为准，录用通知不予考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5" w:hRule="atLeast"/>
          <w:jc w:val="center"/>
        </w:trPr>
        <w:tc>
          <w:tcPr>
            <w:tcW w:w="2915" w:type="dxa"/>
            <w:vMerge w:val="restart"/>
            <w:vAlign w:val="center"/>
          </w:tcPr>
          <w:p>
            <w:pPr>
              <w:widowControl/>
              <w:spacing w:line="360" w:lineRule="auto"/>
              <w:ind w:firstLine="480"/>
              <w:jc w:val="center"/>
              <w:textAlignment w:val="top"/>
              <w:rPr>
                <w:rFonts w:ascii="宋体" w:hAnsi="宋体" w:eastAsia="宋体" w:cs="宋体"/>
                <w:kern w:val="0"/>
                <w:sz w:val="16"/>
                <w:szCs w:val="16"/>
              </w:rPr>
            </w:pPr>
            <w:r>
              <w:rPr>
                <w:rFonts w:hint="eastAsia" w:ascii="宋体" w:hAnsi="宋体" w:eastAsia="宋体" w:cs="宋体"/>
                <w:color w:val="000000"/>
                <w:kern w:val="0"/>
                <w:sz w:val="24"/>
                <w:szCs w:val="24"/>
              </w:rPr>
              <w:t>国家级课题</w:t>
            </w:r>
          </w:p>
        </w:tc>
        <w:tc>
          <w:tcPr>
            <w:tcW w:w="2693" w:type="dxa"/>
            <w:vAlign w:val="top"/>
          </w:tcPr>
          <w:p>
            <w:pPr>
              <w:widowControl/>
              <w:spacing w:line="360" w:lineRule="auto"/>
              <w:jc w:val="center"/>
              <w:textAlignment w:val="top"/>
              <w:rPr>
                <w:rFonts w:ascii="宋体" w:hAnsi="宋体" w:eastAsia="宋体" w:cs="宋体"/>
                <w:kern w:val="0"/>
                <w:szCs w:val="21"/>
              </w:rPr>
            </w:pPr>
            <w:r>
              <w:rPr>
                <w:rFonts w:hint="eastAsia" w:ascii="宋体" w:hAnsi="宋体" w:eastAsia="宋体" w:cs="宋体"/>
                <w:color w:val="000000"/>
                <w:kern w:val="0"/>
                <w:szCs w:val="21"/>
              </w:rPr>
              <w:t>作为负责人立项且完成</w:t>
            </w:r>
          </w:p>
        </w:tc>
        <w:tc>
          <w:tcPr>
            <w:tcW w:w="2181" w:type="dxa"/>
            <w:vAlign w:val="center"/>
          </w:tcPr>
          <w:p>
            <w:pPr>
              <w:widowControl/>
              <w:spacing w:line="360" w:lineRule="auto"/>
              <w:ind w:firstLine="480"/>
              <w:textAlignment w:val="top"/>
              <w:rPr>
                <w:rFonts w:ascii="宋体" w:hAnsi="宋体" w:eastAsia="宋体" w:cs="宋体"/>
                <w:kern w:val="0"/>
                <w:szCs w:val="21"/>
              </w:rPr>
            </w:pPr>
            <w:r>
              <w:rPr>
                <w:rFonts w:hint="eastAsia" w:ascii="宋体" w:hAnsi="宋体" w:eastAsia="宋体" w:cs="宋体"/>
                <w:color w:val="000000"/>
                <w:kern w:val="0"/>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5" w:hRule="atLeast"/>
          <w:jc w:val="center"/>
        </w:trPr>
        <w:tc>
          <w:tcPr>
            <w:tcW w:w="2915" w:type="dxa"/>
            <w:vMerge w:val="continue"/>
            <w:vAlign w:val="center"/>
          </w:tcPr>
          <w:p>
            <w:pPr>
              <w:widowControl/>
              <w:jc w:val="center"/>
              <w:rPr>
                <w:rFonts w:ascii="宋体" w:hAnsi="宋体" w:eastAsia="宋体" w:cs="宋体"/>
                <w:kern w:val="0"/>
                <w:sz w:val="16"/>
                <w:szCs w:val="16"/>
              </w:rPr>
            </w:pPr>
          </w:p>
        </w:tc>
        <w:tc>
          <w:tcPr>
            <w:tcW w:w="2693" w:type="dxa"/>
            <w:vAlign w:val="top"/>
          </w:tcPr>
          <w:p>
            <w:pPr>
              <w:widowControl/>
              <w:spacing w:line="360" w:lineRule="auto"/>
              <w:jc w:val="center"/>
              <w:textAlignment w:val="top"/>
              <w:rPr>
                <w:rFonts w:ascii="宋体" w:hAnsi="宋体" w:eastAsia="宋体" w:cs="宋体"/>
                <w:kern w:val="0"/>
                <w:szCs w:val="21"/>
              </w:rPr>
            </w:pPr>
            <w:r>
              <w:rPr>
                <w:rFonts w:hint="eastAsia" w:ascii="宋体" w:hAnsi="宋体" w:eastAsia="宋体" w:cs="宋体"/>
                <w:color w:val="000000"/>
                <w:kern w:val="0"/>
                <w:szCs w:val="21"/>
              </w:rPr>
              <w:t>作为负责人立项</w:t>
            </w:r>
          </w:p>
        </w:tc>
        <w:tc>
          <w:tcPr>
            <w:tcW w:w="2181" w:type="dxa"/>
            <w:vAlign w:val="center"/>
          </w:tcPr>
          <w:p>
            <w:pPr>
              <w:widowControl/>
              <w:spacing w:line="360" w:lineRule="auto"/>
              <w:ind w:firstLine="480"/>
              <w:textAlignment w:val="top"/>
              <w:rPr>
                <w:rFonts w:ascii="宋体" w:hAnsi="宋体" w:eastAsia="宋体" w:cs="宋体"/>
                <w:kern w:val="0"/>
                <w:szCs w:val="21"/>
              </w:rPr>
            </w:pPr>
            <w:r>
              <w:rPr>
                <w:rFonts w:hint="eastAsia" w:ascii="宋体" w:hAnsi="宋体" w:eastAsia="宋体" w:cs="宋体"/>
                <w:color w:val="000000"/>
                <w:kern w:val="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5" w:hRule="atLeast"/>
          <w:jc w:val="center"/>
        </w:trPr>
        <w:tc>
          <w:tcPr>
            <w:tcW w:w="2915" w:type="dxa"/>
            <w:vMerge w:val="restart"/>
            <w:vAlign w:val="center"/>
          </w:tcPr>
          <w:p>
            <w:pPr>
              <w:widowControl/>
              <w:spacing w:line="360" w:lineRule="auto"/>
              <w:ind w:firstLine="480"/>
              <w:jc w:val="center"/>
              <w:textAlignment w:val="top"/>
              <w:rPr>
                <w:rFonts w:ascii="宋体" w:hAnsi="宋体" w:eastAsia="宋体" w:cs="宋体"/>
                <w:kern w:val="0"/>
                <w:sz w:val="16"/>
                <w:szCs w:val="16"/>
              </w:rPr>
            </w:pPr>
            <w:r>
              <w:rPr>
                <w:rFonts w:hint="eastAsia" w:ascii="宋体" w:hAnsi="宋体" w:eastAsia="宋体" w:cs="宋体"/>
                <w:color w:val="000000"/>
                <w:kern w:val="0"/>
                <w:sz w:val="24"/>
                <w:szCs w:val="24"/>
              </w:rPr>
              <w:t>省市级课题</w:t>
            </w:r>
          </w:p>
        </w:tc>
        <w:tc>
          <w:tcPr>
            <w:tcW w:w="2693" w:type="dxa"/>
            <w:vAlign w:val="top"/>
          </w:tcPr>
          <w:p>
            <w:pPr>
              <w:widowControl/>
              <w:spacing w:line="360" w:lineRule="auto"/>
              <w:jc w:val="center"/>
              <w:textAlignment w:val="top"/>
              <w:rPr>
                <w:rFonts w:ascii="宋体" w:hAnsi="宋体" w:eastAsia="宋体" w:cs="宋体"/>
                <w:kern w:val="0"/>
                <w:szCs w:val="21"/>
              </w:rPr>
            </w:pPr>
            <w:r>
              <w:rPr>
                <w:rFonts w:hint="eastAsia" w:ascii="宋体" w:hAnsi="宋体" w:eastAsia="宋体" w:cs="宋体"/>
                <w:color w:val="000000"/>
                <w:kern w:val="0"/>
                <w:szCs w:val="21"/>
              </w:rPr>
              <w:t>作为负责人立项且完成</w:t>
            </w:r>
          </w:p>
        </w:tc>
        <w:tc>
          <w:tcPr>
            <w:tcW w:w="2181" w:type="dxa"/>
            <w:vAlign w:val="center"/>
          </w:tcPr>
          <w:p>
            <w:pPr>
              <w:widowControl/>
              <w:spacing w:line="360" w:lineRule="auto"/>
              <w:ind w:firstLine="480"/>
              <w:textAlignment w:val="top"/>
              <w:rPr>
                <w:rFonts w:ascii="宋体" w:hAnsi="宋体" w:eastAsia="宋体" w:cs="宋体"/>
                <w:kern w:val="0"/>
                <w:szCs w:val="21"/>
              </w:rPr>
            </w:pPr>
            <w:r>
              <w:rPr>
                <w:rFonts w:hint="eastAsia" w:ascii="宋体" w:hAnsi="宋体" w:eastAsia="宋体" w:cs="宋体"/>
                <w:color w:val="000000"/>
                <w:kern w:val="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5" w:hRule="atLeast"/>
          <w:jc w:val="center"/>
        </w:trPr>
        <w:tc>
          <w:tcPr>
            <w:tcW w:w="2915" w:type="dxa"/>
            <w:vMerge w:val="continue"/>
            <w:vAlign w:val="top"/>
          </w:tcPr>
          <w:p>
            <w:pPr>
              <w:widowControl/>
              <w:jc w:val="left"/>
              <w:rPr>
                <w:rFonts w:ascii="宋体" w:hAnsi="宋体" w:eastAsia="宋体" w:cs="宋体"/>
                <w:kern w:val="0"/>
                <w:sz w:val="16"/>
                <w:szCs w:val="16"/>
              </w:rPr>
            </w:pPr>
          </w:p>
        </w:tc>
        <w:tc>
          <w:tcPr>
            <w:tcW w:w="2693" w:type="dxa"/>
            <w:vAlign w:val="top"/>
          </w:tcPr>
          <w:p>
            <w:pPr>
              <w:widowControl/>
              <w:spacing w:line="360" w:lineRule="auto"/>
              <w:jc w:val="center"/>
              <w:textAlignment w:val="top"/>
              <w:rPr>
                <w:rFonts w:ascii="宋体" w:hAnsi="宋体" w:eastAsia="宋体" w:cs="宋体"/>
                <w:kern w:val="0"/>
                <w:szCs w:val="21"/>
              </w:rPr>
            </w:pPr>
            <w:r>
              <w:rPr>
                <w:rFonts w:hint="eastAsia" w:ascii="宋体" w:hAnsi="宋体" w:eastAsia="宋体" w:cs="宋体"/>
                <w:color w:val="000000"/>
                <w:kern w:val="0"/>
                <w:szCs w:val="21"/>
              </w:rPr>
              <w:t>作为负责人立项</w:t>
            </w:r>
          </w:p>
        </w:tc>
        <w:tc>
          <w:tcPr>
            <w:tcW w:w="2181" w:type="dxa"/>
            <w:vAlign w:val="center"/>
          </w:tcPr>
          <w:p>
            <w:pPr>
              <w:widowControl/>
              <w:spacing w:line="360" w:lineRule="auto"/>
              <w:ind w:firstLine="480"/>
              <w:textAlignment w:val="top"/>
              <w:rPr>
                <w:rFonts w:ascii="宋体" w:hAnsi="宋体" w:eastAsia="宋体" w:cs="宋体"/>
                <w:kern w:val="0"/>
                <w:szCs w:val="21"/>
              </w:rPr>
            </w:pPr>
            <w:r>
              <w:rPr>
                <w:rFonts w:hint="eastAsia" w:ascii="宋体" w:hAnsi="宋体" w:eastAsia="宋体" w:cs="宋体"/>
                <w:color w:val="000000"/>
                <w:kern w:val="0"/>
                <w:szCs w:val="21"/>
              </w:rPr>
              <w:t>8</w:t>
            </w:r>
          </w:p>
        </w:tc>
      </w:tr>
    </w:tbl>
    <w:p>
      <w:pPr>
        <w:widowControl/>
        <w:spacing w:line="360" w:lineRule="auto"/>
        <w:ind w:firstLine="482"/>
        <w:jc w:val="left"/>
        <w:textAlignment w:val="top"/>
        <w:rPr>
          <w:rFonts w:ascii="宋体" w:hAnsi="宋体" w:eastAsia="宋体" w:cs="宋体"/>
          <w:kern w:val="0"/>
          <w:sz w:val="24"/>
          <w:szCs w:val="24"/>
        </w:rPr>
      </w:pPr>
      <w:r>
        <w:rPr>
          <w:rFonts w:hint="eastAsia" w:ascii="宋体" w:hAnsi="宋体" w:eastAsia="宋体" w:cs="宋体"/>
          <w:b/>
          <w:bCs/>
          <w:color w:val="000000"/>
          <w:kern w:val="0"/>
          <w:sz w:val="24"/>
          <w:szCs w:val="24"/>
        </w:rPr>
        <w:t>说明：承担课题的认定以提交相关官方书面证明材料为据。</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31605863">
    <w:nsid w:val="5B4A7367"/>
    <w:multiLevelType w:val="multilevel"/>
    <w:tmpl w:val="5B4A7367"/>
    <w:lvl w:ilvl="0" w:tentative="1">
      <w:start w:val="5"/>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5316058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57831"/>
    <w:rsid w:val="00010764"/>
    <w:rsid w:val="00017D58"/>
    <w:rsid w:val="00057831"/>
    <w:rsid w:val="00070F8B"/>
    <w:rsid w:val="00082C58"/>
    <w:rsid w:val="000B3DA7"/>
    <w:rsid w:val="000C2D27"/>
    <w:rsid w:val="00114A59"/>
    <w:rsid w:val="0013166B"/>
    <w:rsid w:val="00146CD1"/>
    <w:rsid w:val="001867EF"/>
    <w:rsid w:val="0019146A"/>
    <w:rsid w:val="001A0C56"/>
    <w:rsid w:val="001A32E3"/>
    <w:rsid w:val="001B38A4"/>
    <w:rsid w:val="001B634F"/>
    <w:rsid w:val="001C27CE"/>
    <w:rsid w:val="001D44A0"/>
    <w:rsid w:val="001D4593"/>
    <w:rsid w:val="001E51BD"/>
    <w:rsid w:val="00222886"/>
    <w:rsid w:val="00273933"/>
    <w:rsid w:val="002763CF"/>
    <w:rsid w:val="00293281"/>
    <w:rsid w:val="002D1CCA"/>
    <w:rsid w:val="002E1BD1"/>
    <w:rsid w:val="002E2A14"/>
    <w:rsid w:val="002E30E0"/>
    <w:rsid w:val="0032618A"/>
    <w:rsid w:val="00331690"/>
    <w:rsid w:val="003A2D41"/>
    <w:rsid w:val="003F01C9"/>
    <w:rsid w:val="004047CC"/>
    <w:rsid w:val="00415546"/>
    <w:rsid w:val="00431D53"/>
    <w:rsid w:val="00436CE8"/>
    <w:rsid w:val="00476E3F"/>
    <w:rsid w:val="004817CC"/>
    <w:rsid w:val="0048482F"/>
    <w:rsid w:val="005043E9"/>
    <w:rsid w:val="00561172"/>
    <w:rsid w:val="005A1BB9"/>
    <w:rsid w:val="005B0C62"/>
    <w:rsid w:val="005C5AF0"/>
    <w:rsid w:val="006B7A0E"/>
    <w:rsid w:val="0070752B"/>
    <w:rsid w:val="00716F9C"/>
    <w:rsid w:val="007356DF"/>
    <w:rsid w:val="00763956"/>
    <w:rsid w:val="00777B9A"/>
    <w:rsid w:val="007908EC"/>
    <w:rsid w:val="007D5A60"/>
    <w:rsid w:val="00805382"/>
    <w:rsid w:val="00806DCE"/>
    <w:rsid w:val="00811D4E"/>
    <w:rsid w:val="00842AA3"/>
    <w:rsid w:val="008774EA"/>
    <w:rsid w:val="00890062"/>
    <w:rsid w:val="008B578C"/>
    <w:rsid w:val="008F40A1"/>
    <w:rsid w:val="00917EA5"/>
    <w:rsid w:val="00921322"/>
    <w:rsid w:val="00935C82"/>
    <w:rsid w:val="00953C24"/>
    <w:rsid w:val="0096323E"/>
    <w:rsid w:val="009B120C"/>
    <w:rsid w:val="009C7202"/>
    <w:rsid w:val="009D0341"/>
    <w:rsid w:val="009E29CE"/>
    <w:rsid w:val="00A15220"/>
    <w:rsid w:val="00A56DC9"/>
    <w:rsid w:val="00AC2B9F"/>
    <w:rsid w:val="00AF3886"/>
    <w:rsid w:val="00B13CF2"/>
    <w:rsid w:val="00B620F1"/>
    <w:rsid w:val="00BB4524"/>
    <w:rsid w:val="00BC31D1"/>
    <w:rsid w:val="00BC4751"/>
    <w:rsid w:val="00BE5955"/>
    <w:rsid w:val="00BE75CE"/>
    <w:rsid w:val="00C046D8"/>
    <w:rsid w:val="00C05011"/>
    <w:rsid w:val="00C3310F"/>
    <w:rsid w:val="00C52DAB"/>
    <w:rsid w:val="00C552D0"/>
    <w:rsid w:val="00CF0BCC"/>
    <w:rsid w:val="00D40BF7"/>
    <w:rsid w:val="00D53F34"/>
    <w:rsid w:val="00D975C1"/>
    <w:rsid w:val="00DA4634"/>
    <w:rsid w:val="00DA7670"/>
    <w:rsid w:val="00DD1451"/>
    <w:rsid w:val="00DD7BC2"/>
    <w:rsid w:val="00E1625C"/>
    <w:rsid w:val="00E41F93"/>
    <w:rsid w:val="00E5460E"/>
    <w:rsid w:val="00E92357"/>
    <w:rsid w:val="00EA756D"/>
    <w:rsid w:val="00EC6EC5"/>
    <w:rsid w:val="00EE3D4D"/>
    <w:rsid w:val="00F31258"/>
    <w:rsid w:val="00F50D8F"/>
    <w:rsid w:val="00F54560"/>
    <w:rsid w:val="00F81987"/>
    <w:rsid w:val="00FF5460"/>
    <w:rsid w:val="093E337D"/>
    <w:rsid w:val="30F67E62"/>
    <w:rsid w:val="34022063"/>
    <w:rsid w:val="3F7D0099"/>
    <w:rsid w:val="4C58104F"/>
    <w:rsid w:val="78304CBF"/>
    <w:rsid w:val="794145E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Style w:val="4"/>
      <w:tblLayout w:type="fixed"/>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table" w:styleId="5">
    <w:name w:val="Table Grid"/>
    <w:basedOn w:val="4"/>
    <w:uiPriority w:val="0"/>
    <w:pPr>
      <w:widowControl w:val="0"/>
      <w:jc w:val="both"/>
    </w:pPr>
    <w:rPr>
      <w:rFonts w:ascii="Times New Roman" w:hAnsi="Times New Roman"/>
    </w:r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6">
    <w:name w:val="List Paragraph"/>
    <w:basedOn w:val="1"/>
    <w:qFormat/>
    <w:uiPriority w:val="34"/>
    <w:pPr>
      <w:ind w:firstLine="420" w:firstLineChars="200"/>
    </w:pPr>
  </w:style>
  <w:style w:type="character" w:customStyle="1" w:styleId="7">
    <w:name w:val="批注框文本 Char"/>
    <w:basedOn w:val="3"/>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361</Words>
  <Characters>2061</Characters>
  <Lines>17</Lines>
  <Paragraphs>4</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2015-09-24T08:35:00Z</dcterms:created>
  <dc:creator>User</dc:creator>
  <cp:lastModifiedBy>Administrator</cp:lastModifiedBy>
  <cp:lastPrinted>2015-11-03T01:42:00Z</cp:lastPrinted>
  <dcterms:modified xsi:type="dcterms:W3CDTF">2015-11-03T02:48:41Z</dcterms:modified>
  <dc:title>上海戏剧学院2014--2015学年博士研究生学业奖学金评定条例（试行）</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